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F2F7" w14:textId="383E68BA" w:rsidR="00275B4C" w:rsidRPr="00320A12" w:rsidRDefault="00320A12" w:rsidP="00302BC4">
      <w:pPr>
        <w:spacing w:before="5400" w:after="200" w:line="240" w:lineRule="auto"/>
        <w:rPr>
          <w:rFonts w:ascii="Franklin Gothic Book" w:eastAsiaTheme="minorEastAsia" w:hAnsi="Franklin Gothic Book" w:cs="Times New Roman"/>
          <w:sz w:val="76"/>
          <w:szCs w:val="76"/>
        </w:rPr>
      </w:pPr>
      <w:r w:rsidRPr="00320A12">
        <w:rPr>
          <w:rFonts w:ascii="Franklin Gothic Book" w:eastAsiaTheme="minorEastAsia" w:hAnsi="Franklin Gothic Book" w:cs="Times New Roman"/>
          <w:noProof/>
          <w:sz w:val="76"/>
          <w:szCs w:val="76"/>
        </w:rPr>
        <w:drawing>
          <wp:anchor distT="0" distB="0" distL="114300" distR="114300" simplePos="0" relativeHeight="251659264" behindDoc="1" locked="0" layoutInCell="1" allowOverlap="1" wp14:anchorId="09464978" wp14:editId="5D22B7CC">
            <wp:simplePos x="0" y="0"/>
            <wp:positionH relativeFrom="column">
              <wp:posOffset>-883394</wp:posOffset>
            </wp:positionH>
            <wp:positionV relativeFrom="page">
              <wp:posOffset>3067050</wp:posOffset>
            </wp:positionV>
            <wp:extent cx="6033135" cy="7577455"/>
            <wp:effectExtent l="0" t="0" r="0" b="4445"/>
            <wp:wrapNone/>
            <wp:docPr id="303" name="Picture 30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descr="A picture containing background patter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033135" cy="757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B4C" w:rsidRPr="00320A12">
        <w:rPr>
          <w:rFonts w:ascii="Franklin Gothic Book" w:eastAsiaTheme="minorEastAsia" w:hAnsi="Franklin Gothic Book" w:cs="Times New Roman"/>
          <w:sz w:val="76"/>
          <w:szCs w:val="76"/>
        </w:rPr>
        <w:t>Disability Access and Inclusion Plan</w:t>
      </w:r>
    </w:p>
    <w:p w14:paraId="2BC7F4FA" w14:textId="1B45F0B0" w:rsidR="00275B4C" w:rsidRPr="00320A12" w:rsidRDefault="00275B4C" w:rsidP="00320A12">
      <w:pPr>
        <w:spacing w:after="200" w:line="240" w:lineRule="auto"/>
        <w:rPr>
          <w:rFonts w:ascii="Franklin Gothic Book" w:eastAsiaTheme="minorEastAsia" w:hAnsi="Franklin Gothic Book" w:cs="Times New Roman"/>
          <w:sz w:val="76"/>
          <w:szCs w:val="76"/>
        </w:rPr>
      </w:pPr>
      <w:r w:rsidRPr="00320A12">
        <w:rPr>
          <w:rFonts w:ascii="Franklin Gothic Book" w:eastAsiaTheme="minorEastAsia" w:hAnsi="Franklin Gothic Book" w:cs="Times New Roman"/>
          <w:sz w:val="76"/>
          <w:szCs w:val="76"/>
        </w:rPr>
        <w:t>202</w:t>
      </w:r>
      <w:r w:rsidR="00B55C8C" w:rsidRPr="00320A12">
        <w:rPr>
          <w:rFonts w:ascii="Franklin Gothic Book" w:eastAsiaTheme="minorEastAsia" w:hAnsi="Franklin Gothic Book" w:cs="Times New Roman"/>
          <w:sz w:val="76"/>
          <w:szCs w:val="76"/>
        </w:rPr>
        <w:t>3</w:t>
      </w:r>
      <w:r w:rsidR="00C451B3">
        <w:rPr>
          <w:rFonts w:ascii="Franklin Gothic Book" w:eastAsiaTheme="minorEastAsia" w:hAnsi="Franklin Gothic Book" w:cs="Times New Roman"/>
          <w:sz w:val="76"/>
          <w:szCs w:val="76"/>
        </w:rPr>
        <w:t>–</w:t>
      </w:r>
      <w:r w:rsidRPr="00320A12">
        <w:rPr>
          <w:rFonts w:ascii="Franklin Gothic Book" w:eastAsiaTheme="minorEastAsia" w:hAnsi="Franklin Gothic Book" w:cs="Times New Roman"/>
          <w:sz w:val="76"/>
          <w:szCs w:val="76"/>
        </w:rPr>
        <w:t>2027</w:t>
      </w:r>
    </w:p>
    <w:p w14:paraId="3B7BCE26" w14:textId="5574DC5C" w:rsidR="00673A53" w:rsidRDefault="00673A53" w:rsidP="00274166">
      <w:pPr>
        <w:rPr>
          <w:rFonts w:cstheme="minorHAnsi"/>
          <w:b/>
        </w:rPr>
        <w:sectPr w:rsidR="00673A53" w:rsidSect="00673A53">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pPr>
    </w:p>
    <w:p w14:paraId="7EF6DBA9" w14:textId="77777777" w:rsidR="00333C4D" w:rsidRPr="00E13C3A" w:rsidRDefault="00333C4D" w:rsidP="00333C4D">
      <w:pPr>
        <w:rPr>
          <w:rFonts w:cstheme="minorHAnsi"/>
          <w:b/>
        </w:rPr>
      </w:pPr>
      <w:r w:rsidRPr="00E13C3A">
        <w:rPr>
          <w:rFonts w:cstheme="minorHAnsi"/>
          <w:b/>
        </w:rPr>
        <w:lastRenderedPageBreak/>
        <w:t>Acknowledgement of Country</w:t>
      </w:r>
    </w:p>
    <w:p w14:paraId="39C2C9C6" w14:textId="2C50CDEB" w:rsidR="000A04EE" w:rsidRPr="00E13C3A" w:rsidRDefault="0005005A" w:rsidP="00FC5AC5">
      <w:pPr>
        <w:spacing w:after="5520"/>
        <w:rPr>
          <w:rFonts w:cstheme="minorHAnsi"/>
        </w:rPr>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r w:rsidR="00A9492C">
        <w:t>.</w:t>
      </w:r>
    </w:p>
    <w:p w14:paraId="6D0C0886" w14:textId="77777777" w:rsidR="009813C8" w:rsidRPr="00100C93" w:rsidRDefault="009813C8" w:rsidP="00A74C90">
      <w:pPr>
        <w:rPr>
          <w:rFonts w:cstheme="minorHAnsi"/>
          <w:b/>
          <w:sz w:val="20"/>
          <w:szCs w:val="20"/>
        </w:rPr>
      </w:pPr>
      <w:r w:rsidRPr="00100C93">
        <w:rPr>
          <w:rFonts w:cstheme="minorHAnsi"/>
          <w:b/>
          <w:sz w:val="20"/>
          <w:szCs w:val="20"/>
        </w:rPr>
        <w:t>Copyright</w:t>
      </w:r>
    </w:p>
    <w:p w14:paraId="535ACBC1" w14:textId="5221B496" w:rsidR="00093588" w:rsidRPr="00100C93" w:rsidRDefault="00093588" w:rsidP="00A74C90">
      <w:pPr>
        <w:rPr>
          <w:rFonts w:cstheme="minorHAnsi"/>
          <w:sz w:val="20"/>
          <w:szCs w:val="20"/>
        </w:rPr>
      </w:pPr>
      <w:r w:rsidRPr="00100C93">
        <w:rPr>
          <w:rFonts w:cstheme="minorHAnsi"/>
          <w:sz w:val="20"/>
          <w:szCs w:val="20"/>
        </w:rPr>
        <w:t>© School Curriculum and Standards Authority, 202</w:t>
      </w:r>
      <w:r w:rsidR="00692E1D" w:rsidRPr="00100C93">
        <w:rPr>
          <w:rFonts w:cstheme="minorHAnsi"/>
          <w:sz w:val="20"/>
          <w:szCs w:val="20"/>
        </w:rPr>
        <w:t>3</w:t>
      </w:r>
      <w:r w:rsidRPr="00100C93">
        <w:rPr>
          <w:rFonts w:cstheme="minorHAnsi"/>
          <w:sz w:val="20"/>
          <w:szCs w:val="20"/>
        </w:rPr>
        <w:t xml:space="preserve"> </w:t>
      </w:r>
    </w:p>
    <w:p w14:paraId="5D477EE2" w14:textId="77777777" w:rsidR="00093588" w:rsidRPr="00100C93" w:rsidRDefault="00093588" w:rsidP="00A74C90">
      <w:pPr>
        <w:rPr>
          <w:rFonts w:cstheme="minorHAnsi"/>
          <w:sz w:val="20"/>
          <w:szCs w:val="20"/>
        </w:rPr>
      </w:pPr>
      <w:r w:rsidRPr="00100C93">
        <w:rPr>
          <w:rFonts w:cstheme="minorHAnsi"/>
          <w:sz w:val="20"/>
          <w:szCs w:val="20"/>
        </w:rPr>
        <w:t xml:space="preserve">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 </w:t>
      </w:r>
    </w:p>
    <w:p w14:paraId="1ADB97CB" w14:textId="77777777" w:rsidR="00093588" w:rsidRPr="00100C93" w:rsidRDefault="00093588" w:rsidP="00A74C90">
      <w:pPr>
        <w:rPr>
          <w:rFonts w:cstheme="minorHAnsi"/>
          <w:sz w:val="20"/>
          <w:szCs w:val="20"/>
        </w:rPr>
      </w:pPr>
      <w:r w:rsidRPr="00100C93">
        <w:rPr>
          <w:rFonts w:cstheme="minorHAnsi"/>
          <w:sz w:val="20"/>
          <w:szCs w:val="20"/>
        </w:rPr>
        <w:t xml:space="preserve">Copying or communication for any other purpose can be done only within the terms of the </w:t>
      </w:r>
      <w:r w:rsidRPr="00100C93">
        <w:rPr>
          <w:rFonts w:cstheme="minorHAnsi"/>
          <w:i/>
          <w:iCs/>
          <w:sz w:val="20"/>
          <w:szCs w:val="20"/>
        </w:rPr>
        <w:t>Copyright Act 1968</w:t>
      </w:r>
      <w:r w:rsidRPr="00100C93">
        <w:rPr>
          <w:rFonts w:cstheme="minorHAnsi"/>
          <w:sz w:val="20"/>
          <w:szCs w:val="20"/>
        </w:rPr>
        <w:t xml:space="preserve"> or with prior written permission of the School Curriculum and Standards Authority. Copying or communication of any third party copyright material can be done only within the terms of the </w:t>
      </w:r>
      <w:r w:rsidRPr="00100C93">
        <w:rPr>
          <w:rFonts w:cstheme="minorHAnsi"/>
          <w:i/>
          <w:iCs/>
          <w:sz w:val="20"/>
          <w:szCs w:val="20"/>
        </w:rPr>
        <w:t>Copyright Act 1968</w:t>
      </w:r>
      <w:r w:rsidRPr="00100C93">
        <w:rPr>
          <w:rFonts w:cstheme="minorHAnsi"/>
          <w:sz w:val="20"/>
          <w:szCs w:val="20"/>
        </w:rPr>
        <w:t xml:space="preserve"> or with permission of the copyright owners. </w:t>
      </w:r>
    </w:p>
    <w:p w14:paraId="70E0CCE6" w14:textId="4FAA6831" w:rsidR="00100C93" w:rsidRPr="0082625A" w:rsidRDefault="00100C93" w:rsidP="0042750B">
      <w:pPr>
        <w:spacing w:line="240" w:lineRule="auto"/>
        <w:jc w:val="both"/>
        <w:rPr>
          <w:rFonts w:ascii="Calibri" w:eastAsia="Calibri" w:hAnsi="Calibri"/>
          <w:sz w:val="20"/>
          <w:szCs w:val="20"/>
        </w:rPr>
      </w:pPr>
      <w:r w:rsidRPr="0082625A">
        <w:rPr>
          <w:rFonts w:ascii="Calibri" w:eastAsia="Calibri" w:hAnsi="Calibri"/>
          <w:sz w:val="20"/>
          <w:szCs w:val="20"/>
        </w:rPr>
        <w:t xml:space="preserve">Any content in this document that has been derived from the Australian Curriculum may be used under the terms of the </w:t>
      </w:r>
      <w:hyperlink r:id="rId12" w:tgtFrame="_blank" w:history="1">
        <w:r w:rsidRPr="0082625A">
          <w:rPr>
            <w:rFonts w:ascii="Calibri" w:eastAsia="Calibri" w:hAnsi="Calibri"/>
            <w:color w:val="580F8B"/>
            <w:sz w:val="20"/>
            <w:szCs w:val="20"/>
            <w:u w:val="single"/>
          </w:rPr>
          <w:t>Creative Commons Attribution 4.0 International licence</w:t>
        </w:r>
      </w:hyperlink>
      <w:r w:rsidRPr="0082625A">
        <w:rPr>
          <w:rFonts w:ascii="Calibri" w:eastAsia="Calibri" w:hAnsi="Calibri"/>
          <w:sz w:val="20"/>
          <w:szCs w:val="20"/>
        </w:rPr>
        <w:t>.</w:t>
      </w:r>
    </w:p>
    <w:p w14:paraId="40D91060" w14:textId="74444187" w:rsidR="009813C8" w:rsidRPr="00100C93" w:rsidRDefault="00093588" w:rsidP="00A74C90">
      <w:pPr>
        <w:rPr>
          <w:rFonts w:cstheme="minorHAnsi"/>
          <w:sz w:val="20"/>
          <w:szCs w:val="20"/>
        </w:rPr>
      </w:pPr>
      <w:r w:rsidRPr="00100C93">
        <w:rPr>
          <w:rFonts w:cstheme="minorHAnsi"/>
          <w:sz w:val="20"/>
          <w:szCs w:val="20"/>
        </w:rPr>
        <w:t xml:space="preserve">School Curriculum and Standards Authority </w:t>
      </w:r>
      <w:r w:rsidRPr="00100C93">
        <w:rPr>
          <w:rFonts w:cstheme="minorHAnsi"/>
          <w:sz w:val="20"/>
          <w:szCs w:val="20"/>
        </w:rPr>
        <w:br/>
        <w:t xml:space="preserve">Street address: 303 Sevenoaks Street, CANNINGTON, Western Australia 6107 </w:t>
      </w:r>
      <w:r w:rsidRPr="00100C93">
        <w:rPr>
          <w:rFonts w:cstheme="minorHAnsi"/>
          <w:sz w:val="20"/>
          <w:szCs w:val="20"/>
        </w:rPr>
        <w:br/>
        <w:t xml:space="preserve">Postal address: PO Box 816, CANNINGTON, Western Australia 6987 </w:t>
      </w:r>
      <w:r w:rsidRPr="00100C93">
        <w:rPr>
          <w:rFonts w:cstheme="minorHAnsi"/>
          <w:sz w:val="20"/>
          <w:szCs w:val="20"/>
        </w:rPr>
        <w:br/>
        <w:t xml:space="preserve">Phone: (08) 9273 6377 </w:t>
      </w:r>
      <w:r w:rsidRPr="00100C93">
        <w:rPr>
          <w:rFonts w:cstheme="minorHAnsi"/>
          <w:sz w:val="20"/>
          <w:szCs w:val="20"/>
        </w:rPr>
        <w:br/>
        <w:t xml:space="preserve">Web: </w:t>
      </w:r>
      <w:hyperlink r:id="rId13" w:history="1">
        <w:r w:rsidR="00100C93" w:rsidRPr="00100C93">
          <w:rPr>
            <w:rStyle w:val="Hyperlink"/>
            <w:rFonts w:cstheme="minorHAnsi"/>
            <w:sz w:val="20"/>
            <w:szCs w:val="20"/>
          </w:rPr>
          <w:t>www.scsa.wa.edu.au</w:t>
        </w:r>
      </w:hyperlink>
      <w:r w:rsidR="00100C93" w:rsidRPr="00100C93">
        <w:rPr>
          <w:rFonts w:cstheme="minorHAnsi"/>
          <w:sz w:val="20"/>
          <w:szCs w:val="20"/>
        </w:rPr>
        <w:t xml:space="preserve"> </w:t>
      </w:r>
    </w:p>
    <w:p w14:paraId="0C53F682" w14:textId="77777777" w:rsidR="005247B5" w:rsidRDefault="00DB0904">
      <w:pPr>
        <w:rPr>
          <w:rFonts w:cstheme="minorHAnsi"/>
          <w:sz w:val="20"/>
          <w:szCs w:val="20"/>
        </w:rPr>
        <w:sectPr w:rsidR="005247B5" w:rsidSect="005247B5">
          <w:footerReference w:type="default" r:id="rId14"/>
          <w:headerReference w:type="first" r:id="rId15"/>
          <w:footerReference w:type="first" r:id="rId16"/>
          <w:pgSz w:w="11906" w:h="16838"/>
          <w:pgMar w:top="1361" w:right="1440" w:bottom="1701" w:left="1440" w:header="709" w:footer="709" w:gutter="0"/>
          <w:pgNumType w:start="1"/>
          <w:cols w:space="708"/>
          <w:titlePg/>
          <w:docGrid w:linePitch="360"/>
        </w:sectPr>
      </w:pPr>
      <w:r w:rsidRPr="00100C93">
        <w:rPr>
          <w:rFonts w:cstheme="minorHAnsi"/>
          <w:sz w:val="20"/>
          <w:szCs w:val="20"/>
        </w:rPr>
        <w:t>Our DAIP</w:t>
      </w:r>
      <w:r w:rsidR="00093588" w:rsidRPr="00100C93">
        <w:rPr>
          <w:rFonts w:cstheme="minorHAnsi"/>
          <w:sz w:val="20"/>
          <w:szCs w:val="20"/>
        </w:rPr>
        <w:t xml:space="preserve"> is available in alternative formats on request </w:t>
      </w:r>
      <w:r w:rsidRPr="00100C93">
        <w:rPr>
          <w:rFonts w:cstheme="minorHAnsi"/>
          <w:sz w:val="20"/>
          <w:szCs w:val="20"/>
        </w:rPr>
        <w:t xml:space="preserve">from the Authority on 9273 6340 or </w:t>
      </w:r>
      <w:hyperlink r:id="rId17" w:history="1">
        <w:r w:rsidRPr="00100C93">
          <w:rPr>
            <w:rStyle w:val="Hyperlink"/>
            <w:rFonts w:cstheme="minorHAnsi"/>
            <w:sz w:val="20"/>
            <w:szCs w:val="20"/>
          </w:rPr>
          <w:t>info@scsa.wa.edu.au</w:t>
        </w:r>
      </w:hyperlink>
      <w:r w:rsidRPr="00100C93">
        <w:rPr>
          <w:rFonts w:cstheme="minorHAnsi"/>
          <w:sz w:val="20"/>
          <w:szCs w:val="20"/>
        </w:rPr>
        <w:t>. This document is available o</w:t>
      </w:r>
      <w:r w:rsidR="00093588" w:rsidRPr="00100C93">
        <w:rPr>
          <w:rFonts w:cstheme="minorHAnsi"/>
          <w:sz w:val="20"/>
          <w:szCs w:val="20"/>
        </w:rPr>
        <w:t xml:space="preserve">n </w:t>
      </w:r>
      <w:r w:rsidR="00BE3A38" w:rsidRPr="00100C93">
        <w:rPr>
          <w:rFonts w:cstheme="minorHAnsi"/>
          <w:sz w:val="20"/>
          <w:szCs w:val="20"/>
        </w:rPr>
        <w:t>our</w:t>
      </w:r>
      <w:r w:rsidR="00093588" w:rsidRPr="00100C93">
        <w:rPr>
          <w:rFonts w:cstheme="minorHAnsi"/>
          <w:sz w:val="20"/>
          <w:szCs w:val="20"/>
        </w:rPr>
        <w:t xml:space="preserve"> website at </w:t>
      </w:r>
      <w:hyperlink r:id="rId18" w:history="1">
        <w:r w:rsidR="003860F1" w:rsidRPr="00100C93">
          <w:rPr>
            <w:rStyle w:val="Hyperlink"/>
            <w:rFonts w:cstheme="minorHAnsi"/>
            <w:sz w:val="20"/>
            <w:szCs w:val="20"/>
          </w:rPr>
          <w:t>www.scsa.wa.edu.au</w:t>
        </w:r>
      </w:hyperlink>
      <w:r w:rsidR="00093588" w:rsidRPr="00100C93">
        <w:rPr>
          <w:rFonts w:cstheme="minorHAnsi"/>
          <w:sz w:val="20"/>
          <w:szCs w:val="20"/>
        </w:rPr>
        <w:t>.</w:t>
      </w:r>
    </w:p>
    <w:p w14:paraId="195FDC2B" w14:textId="26FE36A0" w:rsidR="00333C4D" w:rsidRPr="00E204D5" w:rsidRDefault="00333C4D" w:rsidP="00E204D5">
      <w:pPr>
        <w:spacing w:before="240" w:after="240"/>
        <w:rPr>
          <w:rFonts w:asciiTheme="majorHAnsi" w:hAnsiTheme="majorHAnsi" w:cstheme="majorHAnsi"/>
          <w:color w:val="580F8B" w:themeColor="accent1"/>
          <w:sz w:val="32"/>
          <w:szCs w:val="32"/>
        </w:rPr>
      </w:pPr>
      <w:r w:rsidRPr="00E204D5">
        <w:rPr>
          <w:rFonts w:asciiTheme="majorHAnsi" w:hAnsiTheme="majorHAnsi" w:cstheme="majorHAnsi"/>
          <w:color w:val="580F8B" w:themeColor="accent1"/>
          <w:sz w:val="32"/>
          <w:szCs w:val="32"/>
        </w:rPr>
        <w:lastRenderedPageBreak/>
        <w:t>Message from the Board Chair</w:t>
      </w:r>
    </w:p>
    <w:p w14:paraId="0D8E0BB5" w14:textId="2E15EB46" w:rsidR="00333C4D" w:rsidRDefault="00333C4D" w:rsidP="00333C4D">
      <w:pPr>
        <w:rPr>
          <w:rFonts w:cstheme="minorHAnsi"/>
        </w:rPr>
      </w:pPr>
      <w:r>
        <w:rPr>
          <w:rFonts w:cstheme="minorHAnsi"/>
        </w:rPr>
        <w:t>The School Curriculum and Standards Authority</w:t>
      </w:r>
      <w:r w:rsidR="007939AB">
        <w:rPr>
          <w:rFonts w:cstheme="minorHAnsi"/>
        </w:rPr>
        <w:t xml:space="preserve"> (the Authority)</w:t>
      </w:r>
      <w:r>
        <w:rPr>
          <w:rFonts w:cstheme="minorHAnsi"/>
        </w:rPr>
        <w:t xml:space="preserve"> </w:t>
      </w:r>
      <w:r w:rsidRPr="00E13C3A">
        <w:rPr>
          <w:rFonts w:cstheme="minorHAnsi"/>
          <w:i/>
        </w:rPr>
        <w:t>Disability Access and Inclusion Plan 202</w:t>
      </w:r>
      <w:r w:rsidR="00B55C8C">
        <w:rPr>
          <w:rFonts w:cstheme="minorHAnsi"/>
          <w:i/>
        </w:rPr>
        <w:t>3</w:t>
      </w:r>
      <w:r w:rsidR="00041134">
        <w:rPr>
          <w:rFonts w:cstheme="minorHAnsi"/>
          <w:i/>
        </w:rPr>
        <w:t>–</w:t>
      </w:r>
      <w:r w:rsidRPr="00E13C3A">
        <w:rPr>
          <w:rFonts w:cstheme="minorHAnsi"/>
          <w:i/>
        </w:rPr>
        <w:t>202</w:t>
      </w:r>
      <w:r>
        <w:rPr>
          <w:rFonts w:cstheme="minorHAnsi"/>
          <w:i/>
        </w:rPr>
        <w:t>7</w:t>
      </w:r>
      <w:r w:rsidRPr="00E13C3A">
        <w:rPr>
          <w:rFonts w:cstheme="minorHAnsi"/>
        </w:rPr>
        <w:t xml:space="preserve"> (DAIP) demonstrates our commitment to and framework for fulfilling </w:t>
      </w:r>
      <w:r>
        <w:rPr>
          <w:rFonts w:cstheme="minorHAnsi"/>
        </w:rPr>
        <w:t>the Authority’s</w:t>
      </w:r>
      <w:r w:rsidRPr="00E13C3A">
        <w:rPr>
          <w:rFonts w:cstheme="minorHAnsi"/>
        </w:rPr>
        <w:t xml:space="preserve"> obligations under the </w:t>
      </w:r>
      <w:r w:rsidRPr="00E13C3A">
        <w:rPr>
          <w:rFonts w:cstheme="minorHAnsi"/>
          <w:i/>
        </w:rPr>
        <w:t xml:space="preserve">Disability Services Act 1993. </w:t>
      </w:r>
      <w:r w:rsidRPr="00E13C3A">
        <w:rPr>
          <w:rFonts w:cstheme="minorHAnsi"/>
        </w:rPr>
        <w:t>We aim to provide all persons with disability with the same opportunities and choices in accessing and using the Authority’s facilities and services that are comparable to other persons without disabilities.</w:t>
      </w:r>
    </w:p>
    <w:p w14:paraId="1D63C711" w14:textId="7C78D4C4" w:rsidR="00333C4D" w:rsidRDefault="00333C4D" w:rsidP="00333C4D">
      <w:pPr>
        <w:rPr>
          <w:rFonts w:cstheme="minorHAnsi"/>
        </w:rPr>
      </w:pPr>
      <w:r w:rsidRPr="00E13C3A">
        <w:rPr>
          <w:rFonts w:cstheme="minorHAnsi"/>
        </w:rPr>
        <w:t xml:space="preserve">We are committed to create an accessible and inclusive environment in delivering the Authority’s functions outlined in </w:t>
      </w:r>
      <w:r w:rsidRPr="00E13C3A">
        <w:rPr>
          <w:rFonts w:cstheme="minorHAnsi"/>
          <w:i/>
        </w:rPr>
        <w:t>the School Curriculum and Standards Act 1997</w:t>
      </w:r>
      <w:r w:rsidRPr="00E13C3A">
        <w:rPr>
          <w:rFonts w:cstheme="minorHAnsi"/>
        </w:rPr>
        <w:t xml:space="preserve">. The Authority’s values of integrity, fairness, equity, transparency and respect are documented in the </w:t>
      </w:r>
      <w:r w:rsidRPr="00E13C3A">
        <w:rPr>
          <w:rFonts w:cstheme="minorHAnsi"/>
          <w:i/>
        </w:rPr>
        <w:t>Board of the School Curriculum and Standards Authority Strategic Plan 2021</w:t>
      </w:r>
      <w:r w:rsidR="00041134">
        <w:rPr>
          <w:rFonts w:cstheme="minorHAnsi"/>
          <w:i/>
        </w:rPr>
        <w:t>–</w:t>
      </w:r>
      <w:r w:rsidRPr="00E13C3A">
        <w:rPr>
          <w:rFonts w:cstheme="minorHAnsi"/>
          <w:i/>
        </w:rPr>
        <w:t>2023</w:t>
      </w:r>
      <w:r w:rsidR="007939AB">
        <w:rPr>
          <w:rFonts w:cstheme="minorHAnsi"/>
          <w:i/>
        </w:rPr>
        <w:t xml:space="preserve"> </w:t>
      </w:r>
      <w:r w:rsidR="007939AB" w:rsidRPr="007939AB">
        <w:rPr>
          <w:rFonts w:cstheme="minorHAnsi"/>
          <w:iCs/>
        </w:rPr>
        <w:t>(Strategic Plan)</w:t>
      </w:r>
      <w:r w:rsidRPr="00E13C3A">
        <w:rPr>
          <w:rFonts w:cstheme="minorHAnsi"/>
        </w:rPr>
        <w:t xml:space="preserve">. </w:t>
      </w:r>
    </w:p>
    <w:p w14:paraId="17D8A661" w14:textId="77777777" w:rsidR="00333C4D" w:rsidRPr="00E13C3A" w:rsidRDefault="00333C4D" w:rsidP="00333C4D">
      <w:pPr>
        <w:rPr>
          <w:rFonts w:cstheme="minorHAnsi"/>
        </w:rPr>
      </w:pPr>
      <w:r>
        <w:rPr>
          <w:rFonts w:cstheme="minorHAnsi"/>
        </w:rPr>
        <w:t xml:space="preserve">Our strategic plan sets out the goals that the Authority is working to deliver. Disability access and inclusion as outlined in this DAIP is most closely aligned with our goal to </w:t>
      </w:r>
      <w:r w:rsidRPr="00274166">
        <w:rPr>
          <w:rFonts w:cstheme="minorHAnsi"/>
          <w:i/>
        </w:rPr>
        <w:t>actively promote a high level of community confidence in the Western Australian Curriculum and Assessment Outline and the Western Australian Certificate of Education through conduct and stakeholder engagement that is ethical, transparent and in the public interest</w:t>
      </w:r>
      <w:r>
        <w:rPr>
          <w:rFonts w:cstheme="minorHAnsi"/>
        </w:rPr>
        <w:t>.</w:t>
      </w:r>
    </w:p>
    <w:p w14:paraId="6D738A7D" w14:textId="1F08F142" w:rsidR="00333C4D" w:rsidRPr="00E13C3A" w:rsidRDefault="00333C4D" w:rsidP="00333C4D">
      <w:pPr>
        <w:rPr>
          <w:rFonts w:cstheme="minorHAnsi"/>
        </w:rPr>
      </w:pPr>
      <w:r w:rsidRPr="00E13C3A">
        <w:rPr>
          <w:rFonts w:cstheme="minorHAnsi"/>
        </w:rPr>
        <w:t xml:space="preserve">The </w:t>
      </w:r>
      <w:r>
        <w:rPr>
          <w:rFonts w:cstheme="minorHAnsi"/>
        </w:rPr>
        <w:t xml:space="preserve">Authority’s </w:t>
      </w:r>
      <w:r w:rsidRPr="00E13C3A">
        <w:rPr>
          <w:rFonts w:cstheme="minorHAnsi"/>
        </w:rPr>
        <w:t xml:space="preserve">DAIP documents our approach to access and inclusion, and lists specific initiatives and outcomes across </w:t>
      </w:r>
      <w:r>
        <w:rPr>
          <w:rFonts w:cstheme="minorHAnsi"/>
        </w:rPr>
        <w:t xml:space="preserve">the </w:t>
      </w:r>
      <w:r w:rsidRPr="00E13C3A">
        <w:rPr>
          <w:rFonts w:cstheme="minorHAnsi"/>
        </w:rPr>
        <w:t xml:space="preserve">seven </w:t>
      </w:r>
      <w:r>
        <w:rPr>
          <w:rFonts w:cstheme="minorHAnsi"/>
        </w:rPr>
        <w:t>principles</w:t>
      </w:r>
      <w:r w:rsidRPr="00E13C3A">
        <w:rPr>
          <w:rFonts w:cstheme="minorHAnsi"/>
        </w:rPr>
        <w:t xml:space="preserve"> relating to services and events, information, office accommodation, quality of service, complaints, consultation processes, and engagement of individuals to deliver the Authority’s functions. It builds on the successes achieved reported annually through the life of the previous plan. </w:t>
      </w:r>
    </w:p>
    <w:p w14:paraId="0494C08B" w14:textId="77777777" w:rsidR="00333C4D" w:rsidRPr="00E13C3A" w:rsidRDefault="00333C4D" w:rsidP="00333C4D">
      <w:pPr>
        <w:rPr>
          <w:rFonts w:cstheme="minorHAnsi"/>
        </w:rPr>
      </w:pPr>
      <w:r>
        <w:rPr>
          <w:rFonts w:cstheme="minorHAnsi"/>
        </w:rPr>
        <w:t>I</w:t>
      </w:r>
      <w:r w:rsidRPr="00E13C3A">
        <w:rPr>
          <w:rFonts w:cstheme="minorHAnsi"/>
        </w:rPr>
        <w:t xml:space="preserve"> acknowledge the contribution of the Western Australian community, the Authority’s stakeholders, Department of Communities staff, Department </w:t>
      </w:r>
      <w:r>
        <w:rPr>
          <w:rFonts w:cstheme="minorHAnsi"/>
        </w:rPr>
        <w:t xml:space="preserve">of Education </w:t>
      </w:r>
      <w:r w:rsidRPr="00E13C3A">
        <w:rPr>
          <w:rFonts w:cstheme="minorHAnsi"/>
        </w:rPr>
        <w:t xml:space="preserve">staff and </w:t>
      </w:r>
      <w:r>
        <w:rPr>
          <w:rFonts w:cstheme="minorHAnsi"/>
        </w:rPr>
        <w:t xml:space="preserve">relevant </w:t>
      </w:r>
      <w:r w:rsidRPr="00E13C3A">
        <w:rPr>
          <w:rFonts w:cstheme="minorHAnsi"/>
        </w:rPr>
        <w:t xml:space="preserve">disability service organisations in developing this plan. Your valuable input </w:t>
      </w:r>
      <w:r>
        <w:rPr>
          <w:rFonts w:cstheme="minorHAnsi"/>
        </w:rPr>
        <w:t xml:space="preserve">and feedback </w:t>
      </w:r>
      <w:r w:rsidRPr="00E13C3A">
        <w:rPr>
          <w:rFonts w:cstheme="minorHAnsi"/>
        </w:rPr>
        <w:t xml:space="preserve">during </w:t>
      </w:r>
      <w:r>
        <w:rPr>
          <w:rFonts w:cstheme="minorHAnsi"/>
        </w:rPr>
        <w:t>the</w:t>
      </w:r>
      <w:r w:rsidRPr="00E13C3A">
        <w:rPr>
          <w:rFonts w:cstheme="minorHAnsi"/>
        </w:rPr>
        <w:t xml:space="preserve"> </w:t>
      </w:r>
      <w:r>
        <w:rPr>
          <w:rFonts w:cstheme="minorHAnsi"/>
        </w:rPr>
        <w:t xml:space="preserve">DAIP development and </w:t>
      </w:r>
      <w:r w:rsidRPr="00E13C3A">
        <w:rPr>
          <w:rFonts w:cstheme="minorHAnsi"/>
        </w:rPr>
        <w:t xml:space="preserve">consultation process </w:t>
      </w:r>
      <w:r>
        <w:rPr>
          <w:rFonts w:cstheme="minorHAnsi"/>
        </w:rPr>
        <w:t>has helped to</w:t>
      </w:r>
      <w:r w:rsidRPr="00E13C3A">
        <w:rPr>
          <w:rFonts w:cstheme="minorHAnsi"/>
        </w:rPr>
        <w:t xml:space="preserve"> improve the experiences of people with disability in accessing the Authority’s services, programs and facilities.</w:t>
      </w:r>
    </w:p>
    <w:p w14:paraId="59AB53F6" w14:textId="77777777" w:rsidR="00333C4D" w:rsidRPr="00E13C3A" w:rsidRDefault="00333C4D" w:rsidP="00333C4D">
      <w:pPr>
        <w:rPr>
          <w:rFonts w:cstheme="minorHAnsi"/>
        </w:rPr>
      </w:pPr>
      <w:r>
        <w:rPr>
          <w:rFonts w:cstheme="minorHAnsi"/>
        </w:rPr>
        <w:t>I</w:t>
      </w:r>
      <w:r w:rsidRPr="00E13C3A">
        <w:rPr>
          <w:rFonts w:cstheme="minorHAnsi"/>
        </w:rPr>
        <w:t xml:space="preserve"> ask all individuals engaged in delivering the Authority’s functions or acting on behalf of the Authority to embrace our commitment to improving the inclusion of people with disability and access to services and information.</w:t>
      </w:r>
    </w:p>
    <w:p w14:paraId="1CC0D870" w14:textId="77777777" w:rsidR="00333C4D" w:rsidRDefault="00333C4D" w:rsidP="00333C4D">
      <w:pPr>
        <w:rPr>
          <w:rFonts w:cstheme="minorHAnsi"/>
          <w:b/>
        </w:rPr>
      </w:pPr>
      <w:r>
        <w:rPr>
          <w:rFonts w:cstheme="minorHAnsi"/>
          <w:b/>
        </w:rPr>
        <w:t>Mrs Pauline White</w:t>
      </w:r>
    </w:p>
    <w:p w14:paraId="2D3C12E3" w14:textId="77777777" w:rsidR="00333C4D" w:rsidRPr="00E13C3A" w:rsidRDefault="00333C4D" w:rsidP="00333C4D">
      <w:pPr>
        <w:rPr>
          <w:rFonts w:cstheme="minorHAnsi"/>
          <w:b/>
        </w:rPr>
      </w:pPr>
      <w:r>
        <w:rPr>
          <w:rFonts w:cstheme="minorHAnsi"/>
          <w:b/>
        </w:rPr>
        <w:t xml:space="preserve">Board </w:t>
      </w:r>
      <w:r w:rsidRPr="00E13C3A">
        <w:rPr>
          <w:rFonts w:cstheme="minorHAnsi"/>
          <w:b/>
        </w:rPr>
        <w:t>Chair</w:t>
      </w:r>
      <w:r w:rsidRPr="00E13C3A">
        <w:rPr>
          <w:rFonts w:cstheme="minorHAnsi"/>
          <w:b/>
        </w:rPr>
        <w:br/>
        <w:t>School Cur</w:t>
      </w:r>
      <w:r>
        <w:rPr>
          <w:rFonts w:cstheme="minorHAnsi"/>
          <w:b/>
        </w:rPr>
        <w:t>riculum and Standards Authority</w:t>
      </w:r>
    </w:p>
    <w:p w14:paraId="45C5696B" w14:textId="77777777" w:rsidR="00333C4D" w:rsidRPr="00E204D5" w:rsidRDefault="00333C4D" w:rsidP="00E204D5">
      <w:r w:rsidRPr="00E204D5">
        <w:br w:type="page"/>
      </w:r>
    </w:p>
    <w:p w14:paraId="68CD1DF6" w14:textId="26A0534A" w:rsidR="00FC5AC5" w:rsidRPr="00E204D5" w:rsidRDefault="000A04EE" w:rsidP="005215F8">
      <w:pPr>
        <w:pStyle w:val="Heading1"/>
        <w:numPr>
          <w:ilvl w:val="0"/>
          <w:numId w:val="6"/>
        </w:numPr>
      </w:pPr>
      <w:r w:rsidRPr="00E204D5">
        <w:lastRenderedPageBreak/>
        <w:t>Introduction</w:t>
      </w:r>
    </w:p>
    <w:p w14:paraId="25F1FC29" w14:textId="67BD6B60" w:rsidR="00E13C3A" w:rsidRPr="00E13C3A" w:rsidRDefault="00E13C3A" w:rsidP="00FC5AC5">
      <w:r>
        <w:t>T</w:t>
      </w:r>
      <w:r w:rsidRPr="00E13C3A">
        <w:t>he School Curriculum and Standards Authority</w:t>
      </w:r>
      <w:r w:rsidR="002E58E5">
        <w:t xml:space="preserve"> (the Authority)</w:t>
      </w:r>
      <w:r w:rsidRPr="00E13C3A">
        <w:t xml:space="preserve"> is an independent statutory authority </w:t>
      </w:r>
      <w:r w:rsidR="002E58E5">
        <w:t>responsible</w:t>
      </w:r>
      <w:r w:rsidRPr="00E13C3A">
        <w:t xml:space="preserve"> to the Western Australian Minister for Education. It is administered by a </w:t>
      </w:r>
      <w:r w:rsidR="00112556">
        <w:t xml:space="preserve">seven-member </w:t>
      </w:r>
      <w:r w:rsidRPr="00E13C3A">
        <w:t>board appointed for their expertise in education and assessment.</w:t>
      </w:r>
    </w:p>
    <w:p w14:paraId="4F637DFF" w14:textId="5FE5761A" w:rsidR="00E13C3A" w:rsidRPr="00E13C3A" w:rsidRDefault="00B52757" w:rsidP="00E13C3A">
      <w:pPr>
        <w:rPr>
          <w:rFonts w:cstheme="minorHAnsi"/>
        </w:rPr>
      </w:pPr>
      <w:r>
        <w:rPr>
          <w:rFonts w:cstheme="minorHAnsi"/>
        </w:rPr>
        <w:t xml:space="preserve">Responsible for implementing the </w:t>
      </w:r>
      <w:r w:rsidRPr="002E58E5">
        <w:rPr>
          <w:rFonts w:cstheme="minorHAnsi"/>
          <w:i/>
        </w:rPr>
        <w:t>School Curriculum and Standards Authority Act 1997</w:t>
      </w:r>
      <w:r w:rsidR="00AC4A3B">
        <w:rPr>
          <w:rFonts w:cstheme="minorHAnsi"/>
          <w:i/>
        </w:rPr>
        <w:t xml:space="preserve"> </w:t>
      </w:r>
      <w:r w:rsidR="00AC4A3B">
        <w:rPr>
          <w:rFonts w:cstheme="minorHAnsi"/>
          <w:iCs/>
        </w:rPr>
        <w:t xml:space="preserve">(the </w:t>
      </w:r>
      <w:r w:rsidR="00AC4A3B" w:rsidRPr="00FC5AC5">
        <w:rPr>
          <w:rFonts w:cstheme="minorHAnsi"/>
          <w:i/>
        </w:rPr>
        <w:t>Act</w:t>
      </w:r>
      <w:r w:rsidR="00AC4A3B">
        <w:rPr>
          <w:rFonts w:cstheme="minorHAnsi"/>
          <w:iCs/>
        </w:rPr>
        <w:t>)</w:t>
      </w:r>
      <w:r>
        <w:rPr>
          <w:rFonts w:cstheme="minorHAnsi"/>
        </w:rPr>
        <w:t>, t</w:t>
      </w:r>
      <w:r w:rsidR="00E13C3A" w:rsidRPr="00E13C3A">
        <w:rPr>
          <w:rFonts w:cstheme="minorHAnsi"/>
        </w:rPr>
        <w:t>he Authority</w:t>
      </w:r>
      <w:r w:rsidR="00526EBB">
        <w:rPr>
          <w:rFonts w:cstheme="minorHAnsi"/>
        </w:rPr>
        <w:t>’s role</w:t>
      </w:r>
      <w:r w:rsidR="00E13C3A" w:rsidRPr="00E13C3A">
        <w:rPr>
          <w:rFonts w:cstheme="minorHAnsi"/>
        </w:rPr>
        <w:t xml:space="preserve"> is to:</w:t>
      </w:r>
    </w:p>
    <w:p w14:paraId="36E575F4" w14:textId="77777777" w:rsidR="00E13C3A" w:rsidRPr="00E13C3A" w:rsidRDefault="00E13C3A" w:rsidP="00E204D5">
      <w:pPr>
        <w:pStyle w:val="ListBullet"/>
      </w:pPr>
      <w:r w:rsidRPr="00E13C3A">
        <w:t>develop and accredit school curriculum</w:t>
      </w:r>
    </w:p>
    <w:p w14:paraId="1BEAF513" w14:textId="77777777" w:rsidR="00E13C3A" w:rsidRPr="00E13C3A" w:rsidRDefault="00E13C3A" w:rsidP="00E204D5">
      <w:pPr>
        <w:pStyle w:val="ListBullet"/>
      </w:pPr>
      <w:r w:rsidRPr="00E13C3A">
        <w:t>assess student achievement in relation to the curriculum through the administration of</w:t>
      </w:r>
    </w:p>
    <w:p w14:paraId="1FC88ECE" w14:textId="77777777" w:rsidR="00E13C3A" w:rsidRPr="00E13C3A" w:rsidRDefault="00E13C3A" w:rsidP="00E204D5">
      <w:pPr>
        <w:pStyle w:val="ListBullet"/>
      </w:pPr>
      <w:r w:rsidRPr="00E13C3A">
        <w:t>standardised testing and Australian Tertiary Admission Rank (ATAR) course examinations</w:t>
      </w:r>
    </w:p>
    <w:p w14:paraId="6C1B3173" w14:textId="77777777" w:rsidR="00E13C3A" w:rsidRPr="00E13C3A" w:rsidRDefault="00E13C3A" w:rsidP="00E204D5">
      <w:pPr>
        <w:pStyle w:val="ListBullet"/>
      </w:pPr>
      <w:r w:rsidRPr="00E13C3A">
        <w:t>certify senior secondary achievement</w:t>
      </w:r>
    </w:p>
    <w:p w14:paraId="6A4506F4" w14:textId="77777777" w:rsidR="00E13C3A" w:rsidRPr="00E13C3A" w:rsidRDefault="00E13C3A" w:rsidP="00E204D5">
      <w:pPr>
        <w:pStyle w:val="ListBullet"/>
      </w:pPr>
      <w:r w:rsidRPr="00E13C3A">
        <w:t>report on the standards of student achievement.</w:t>
      </w:r>
    </w:p>
    <w:p w14:paraId="7528BA58" w14:textId="7D5D6298" w:rsidR="00E13C3A" w:rsidRPr="00E13C3A" w:rsidRDefault="00E13C3A" w:rsidP="00E13C3A">
      <w:pPr>
        <w:rPr>
          <w:rFonts w:cstheme="minorHAnsi"/>
        </w:rPr>
      </w:pPr>
      <w:r w:rsidRPr="00E13C3A">
        <w:rPr>
          <w:rFonts w:cstheme="minorHAnsi"/>
        </w:rPr>
        <w:t>The Authority</w:t>
      </w:r>
      <w:r w:rsidR="00526EBB">
        <w:rPr>
          <w:rFonts w:cstheme="minorHAnsi"/>
        </w:rPr>
        <w:t>’s work</w:t>
      </w:r>
      <w:r w:rsidRPr="00E13C3A">
        <w:rPr>
          <w:rFonts w:cstheme="minorHAnsi"/>
        </w:rPr>
        <w:t xml:space="preserve"> is supported by a secretariat</w:t>
      </w:r>
      <w:r w:rsidR="00BE3A38">
        <w:rPr>
          <w:rFonts w:cstheme="minorHAnsi"/>
        </w:rPr>
        <w:t xml:space="preserve"> provided by the Department of Education</w:t>
      </w:r>
      <w:r w:rsidR="00D10E4F">
        <w:rPr>
          <w:rFonts w:cstheme="minorHAnsi"/>
        </w:rPr>
        <w:t xml:space="preserve"> (the Department)</w:t>
      </w:r>
      <w:r w:rsidRPr="00E13C3A">
        <w:rPr>
          <w:rFonts w:cstheme="minorHAnsi"/>
        </w:rPr>
        <w:t>.</w:t>
      </w:r>
    </w:p>
    <w:p w14:paraId="3681BDE7" w14:textId="77777777" w:rsidR="000A04EE" w:rsidRPr="008459EC" w:rsidRDefault="008459EC" w:rsidP="006E0ACE">
      <w:pPr>
        <w:pStyle w:val="Heading2"/>
      </w:pPr>
      <w:r w:rsidRPr="008459EC">
        <w:t xml:space="preserve">Operational </w:t>
      </w:r>
      <w:r>
        <w:t>S</w:t>
      </w:r>
      <w:r w:rsidRPr="008459EC">
        <w:t>tructure</w:t>
      </w:r>
    </w:p>
    <w:p w14:paraId="76DFE320" w14:textId="2E82E7C9" w:rsidR="00DB0904" w:rsidRDefault="008459EC" w:rsidP="00E13C3A">
      <w:r w:rsidRPr="00E13C3A">
        <w:t>The S</w:t>
      </w:r>
      <w:r>
        <w:t xml:space="preserve">chool </w:t>
      </w:r>
      <w:r w:rsidRPr="00E13C3A">
        <w:t>C</w:t>
      </w:r>
      <w:r>
        <w:t xml:space="preserve">urriculum and </w:t>
      </w:r>
      <w:r w:rsidRPr="00E13C3A">
        <w:t>S</w:t>
      </w:r>
      <w:r>
        <w:t xml:space="preserve">tandards </w:t>
      </w:r>
      <w:r w:rsidRPr="00E13C3A">
        <w:t>Division</w:t>
      </w:r>
      <w:r>
        <w:t xml:space="preserve"> (SCS Division)</w:t>
      </w:r>
      <w:r w:rsidRPr="00E13C3A">
        <w:t xml:space="preserve"> </w:t>
      </w:r>
      <w:r>
        <w:t xml:space="preserve">of the Department </w:t>
      </w:r>
      <w:r w:rsidRPr="00E13C3A">
        <w:t>deliver</w:t>
      </w:r>
      <w:r>
        <w:t>s</w:t>
      </w:r>
      <w:r w:rsidRPr="00E13C3A">
        <w:t xml:space="preserve"> the Authority’s legislated functions. </w:t>
      </w:r>
      <w:r>
        <w:t>T</w:t>
      </w:r>
      <w:r w:rsidR="000A04EE" w:rsidRPr="00E13C3A">
        <w:t xml:space="preserve">he Director General of the Department holds the position of Chief Executive Officer (CEO) of the Authority under section 20 of the </w:t>
      </w:r>
      <w:r w:rsidR="000A04EE" w:rsidRPr="00D10E4F">
        <w:rPr>
          <w:i/>
          <w:iCs/>
        </w:rPr>
        <w:t>Act</w:t>
      </w:r>
      <w:r w:rsidR="000A04EE" w:rsidRPr="00E13C3A">
        <w:t xml:space="preserve"> and Part 3 of </w:t>
      </w:r>
      <w:r w:rsidR="00090449">
        <w:t xml:space="preserve">the </w:t>
      </w:r>
      <w:r w:rsidR="000A04EE" w:rsidRPr="00385156">
        <w:rPr>
          <w:i/>
          <w:iCs/>
        </w:rPr>
        <w:t>Publ</w:t>
      </w:r>
      <w:r w:rsidRPr="00385156">
        <w:rPr>
          <w:i/>
          <w:iCs/>
        </w:rPr>
        <w:t>ic Sector Management Act 1994</w:t>
      </w:r>
      <w:r>
        <w:t>.</w:t>
      </w:r>
    </w:p>
    <w:p w14:paraId="075D6DE2" w14:textId="2B7B17EC" w:rsidR="00DB0904" w:rsidRDefault="000A04EE" w:rsidP="00E13C3A">
      <w:r w:rsidRPr="00E13C3A">
        <w:t xml:space="preserve">Under section 17 of the </w:t>
      </w:r>
      <w:r w:rsidRPr="00D10E4F">
        <w:rPr>
          <w:i/>
          <w:iCs/>
        </w:rPr>
        <w:t>Act</w:t>
      </w:r>
      <w:r w:rsidRPr="00E13C3A">
        <w:t xml:space="preserve">, the Board has delegated some of its powers to a specific officer of the Department, </w:t>
      </w:r>
      <w:r w:rsidR="00F36886" w:rsidRPr="00E13C3A">
        <w:t>i.e.</w:t>
      </w:r>
      <w:r w:rsidRPr="00E13C3A">
        <w:t xml:space="preserve"> the Executive Director, School Curriculum and Standards (Executive Director, SCS). In exercising the delegations of the Board, the Executive Director, SCS is accountable to the Board. In exercising all other functions, the Executive Director, SCS is accountable</w:t>
      </w:r>
      <w:r w:rsidR="008459EC">
        <w:t xml:space="preserve"> to the CEO of the Department. </w:t>
      </w:r>
    </w:p>
    <w:p w14:paraId="0AD30714" w14:textId="035F3295" w:rsidR="00274B10" w:rsidRDefault="00274B10" w:rsidP="00274B10">
      <w:r>
        <w:t xml:space="preserve">The Authority does not employ staff directly. Under a service level agreement, the Authority has arranged with the Department to use employees of the Department </w:t>
      </w:r>
      <w:r w:rsidR="006A7B70">
        <w:t>to</w:t>
      </w:r>
      <w:r>
        <w:t xml:space="preserve"> deliver its functions. Employment practices are guided by the Department’s policies and processes</w:t>
      </w:r>
      <w:r w:rsidR="00840B7C">
        <w:t>.</w:t>
      </w:r>
    </w:p>
    <w:p w14:paraId="25452AA0" w14:textId="58715432" w:rsidR="00274B10" w:rsidRPr="00385156" w:rsidRDefault="000A04EE" w:rsidP="000141AB">
      <w:pPr>
        <w:rPr>
          <w:rFonts w:cs="Arial"/>
          <w:iCs/>
          <w:sz w:val="20"/>
          <w:szCs w:val="20"/>
        </w:rPr>
      </w:pPr>
      <w:r w:rsidRPr="00E13C3A">
        <w:t xml:space="preserve">The SCS Division staff </w:t>
      </w:r>
      <w:r w:rsidR="005001A1">
        <w:t>are</w:t>
      </w:r>
      <w:r w:rsidRPr="00E13C3A">
        <w:t xml:space="preserve"> bound by the Department’s policies and procedures, including the </w:t>
      </w:r>
      <w:r w:rsidR="008459EC" w:rsidRPr="009408A9">
        <w:rPr>
          <w:i/>
        </w:rPr>
        <w:t>Department of Education Disability Access and Inclusion Plan</w:t>
      </w:r>
      <w:r w:rsidR="00840B7C">
        <w:rPr>
          <w:i/>
        </w:rPr>
        <w:t xml:space="preserve"> 2018</w:t>
      </w:r>
      <w:r w:rsidR="00D10E4F">
        <w:rPr>
          <w:i/>
        </w:rPr>
        <w:t>–</w:t>
      </w:r>
      <w:r w:rsidR="00840B7C">
        <w:rPr>
          <w:i/>
        </w:rPr>
        <w:t>2023</w:t>
      </w:r>
      <w:r w:rsidR="00FA66A1">
        <w:rPr>
          <w:i/>
        </w:rPr>
        <w:t xml:space="preserve"> </w:t>
      </w:r>
      <w:r w:rsidR="00FA66A1" w:rsidRPr="00FA66A1">
        <w:rPr>
          <w:iCs/>
        </w:rPr>
        <w:t>and</w:t>
      </w:r>
      <w:r w:rsidR="00FA66A1">
        <w:rPr>
          <w:i/>
        </w:rPr>
        <w:t xml:space="preserve"> </w:t>
      </w:r>
      <w:r w:rsidR="00FA66A1">
        <w:rPr>
          <w:iCs/>
        </w:rPr>
        <w:t>t</w:t>
      </w:r>
      <w:r w:rsidR="009408A9" w:rsidRPr="00E13C3A">
        <w:t xml:space="preserve">he </w:t>
      </w:r>
      <w:r w:rsidR="000141AB">
        <w:t xml:space="preserve">Department’s </w:t>
      </w:r>
      <w:r w:rsidR="009408A9" w:rsidRPr="00E13C3A">
        <w:t>Code of Conduct</w:t>
      </w:r>
      <w:r w:rsidR="000141AB">
        <w:t>.</w:t>
      </w:r>
      <w:r w:rsidR="009408A9" w:rsidRPr="00E13C3A">
        <w:t xml:space="preserve"> </w:t>
      </w:r>
    </w:p>
    <w:p w14:paraId="4F0DA003" w14:textId="0E7496F9" w:rsidR="00274B10" w:rsidRPr="00274B10" w:rsidRDefault="00274B10" w:rsidP="00274B10">
      <w:pPr>
        <w:tabs>
          <w:tab w:val="left" w:pos="284"/>
        </w:tabs>
        <w:spacing w:before="60"/>
        <w:ind w:right="851"/>
        <w:rPr>
          <w:rFonts w:cs="Arial"/>
          <w:sz w:val="18"/>
        </w:rPr>
      </w:pPr>
      <w:r>
        <w:t xml:space="preserve">The Authority’s purchasing is undertaken by the Division staff. Suppliers are contracted following the Department of Finance and Department of Education policies for procurement and contract management. The </w:t>
      </w:r>
      <w:r w:rsidR="00D10E4F">
        <w:t xml:space="preserve">Division </w:t>
      </w:r>
      <w:r>
        <w:t>staff are encouraged to consider Aboriginal business and Australian Disability Enterprises to support diversity and benefit the WA Community.</w:t>
      </w:r>
    </w:p>
    <w:p w14:paraId="5DAC34FE" w14:textId="77777777" w:rsidR="00A74C90" w:rsidRDefault="00A74C90" w:rsidP="006E0ACE">
      <w:pPr>
        <w:pStyle w:val="Heading2"/>
      </w:pPr>
      <w:r w:rsidRPr="00E13C3A">
        <w:t>Policy Statement</w:t>
      </w:r>
    </w:p>
    <w:p w14:paraId="3279D0D0" w14:textId="76242F21" w:rsidR="00E13C3A" w:rsidRDefault="00E13C3A" w:rsidP="00E13C3A">
      <w:r>
        <w:t xml:space="preserve">The </w:t>
      </w:r>
      <w:r w:rsidRPr="00E13C3A">
        <w:rPr>
          <w:i/>
        </w:rPr>
        <w:t>School Curriculum and Standards Authority Strategic Plan 2021–2023</w:t>
      </w:r>
      <w:r>
        <w:t xml:space="preserve"> articulates the Authority’s strategic directions, including its vision, values and goals.</w:t>
      </w:r>
    </w:p>
    <w:p w14:paraId="064C8705" w14:textId="77777777" w:rsidR="00E13C3A" w:rsidRDefault="00E13C3A" w:rsidP="00D10E4F">
      <w:pPr>
        <w:keepNext/>
      </w:pPr>
      <w:r>
        <w:lastRenderedPageBreak/>
        <w:t>The plan has three strategic priorities:</w:t>
      </w:r>
    </w:p>
    <w:p w14:paraId="40E47AEC" w14:textId="6530FD3F" w:rsidR="00E13C3A" w:rsidRDefault="00D10650" w:rsidP="00E204D5">
      <w:pPr>
        <w:pStyle w:val="ListBullet"/>
      </w:pPr>
      <w:r>
        <w:t>c</w:t>
      </w:r>
      <w:r w:rsidR="00E13C3A">
        <w:t>urriculum, assessment and standards</w:t>
      </w:r>
    </w:p>
    <w:p w14:paraId="184C7ABE" w14:textId="23704842" w:rsidR="00E13C3A" w:rsidRDefault="00D10650" w:rsidP="00E204D5">
      <w:pPr>
        <w:pStyle w:val="ListBullet"/>
      </w:pPr>
      <w:r>
        <w:t>e</w:t>
      </w:r>
      <w:r w:rsidR="00E13C3A">
        <w:t>xaminations, testing and certification</w:t>
      </w:r>
    </w:p>
    <w:p w14:paraId="490D77AE" w14:textId="2590D4CF" w:rsidR="00E13C3A" w:rsidRDefault="00D10650" w:rsidP="00E204D5">
      <w:pPr>
        <w:pStyle w:val="ListBullet"/>
      </w:pPr>
      <w:r>
        <w:t>c</w:t>
      </w:r>
      <w:r w:rsidR="00E13C3A">
        <w:t>ommunication, engagement and partnerships.</w:t>
      </w:r>
    </w:p>
    <w:p w14:paraId="24B531F1" w14:textId="31DC6DCA" w:rsidR="00E13C3A" w:rsidRDefault="00E13C3A" w:rsidP="00E13C3A">
      <w:r>
        <w:t xml:space="preserve">The Authority will seek regular feedback on its performance against the </w:t>
      </w:r>
      <w:r w:rsidR="00D10E4F">
        <w:t xml:space="preserve">Strategic Plan </w:t>
      </w:r>
      <w:r>
        <w:t>and use the information to improve its approaches, policies and procedures.</w:t>
      </w:r>
    </w:p>
    <w:p w14:paraId="5649BB53" w14:textId="77777777" w:rsidR="00E13C3A" w:rsidRPr="009408A9" w:rsidRDefault="00E13C3A" w:rsidP="006E0ACE">
      <w:pPr>
        <w:pStyle w:val="Heading2"/>
      </w:pPr>
      <w:r w:rsidRPr="009408A9">
        <w:t>Our vision</w:t>
      </w:r>
    </w:p>
    <w:p w14:paraId="65A431A5" w14:textId="77777777" w:rsidR="00E13C3A" w:rsidRDefault="00E13C3A" w:rsidP="00E204D5">
      <w:r>
        <w:t>To provide quality curriculum, assessment and standards of achievement for all students studying the Western Australian curriculum so that they become confident, creative individuals, successful lifelong learners and active, informed members of the community.</w:t>
      </w:r>
    </w:p>
    <w:p w14:paraId="6711869E" w14:textId="77777777" w:rsidR="00E13C3A" w:rsidRPr="009408A9" w:rsidRDefault="00E13C3A" w:rsidP="006E0ACE">
      <w:pPr>
        <w:pStyle w:val="Heading2"/>
      </w:pPr>
      <w:r w:rsidRPr="009408A9">
        <w:t>Our values</w:t>
      </w:r>
    </w:p>
    <w:p w14:paraId="26664905" w14:textId="77777777" w:rsidR="00E13C3A" w:rsidRDefault="00E13C3A" w:rsidP="00E204D5">
      <w:pPr>
        <w:pStyle w:val="ListBullet"/>
      </w:pPr>
      <w:r>
        <w:t>Integrity</w:t>
      </w:r>
    </w:p>
    <w:p w14:paraId="3D0C14B1" w14:textId="77777777" w:rsidR="00E13C3A" w:rsidRDefault="00E13C3A" w:rsidP="00E204D5">
      <w:pPr>
        <w:pStyle w:val="ListBullet"/>
      </w:pPr>
      <w:r>
        <w:t>Fairness</w:t>
      </w:r>
    </w:p>
    <w:p w14:paraId="138295E8" w14:textId="77777777" w:rsidR="00E13C3A" w:rsidRDefault="00E13C3A" w:rsidP="00E204D5">
      <w:pPr>
        <w:pStyle w:val="ListBullet"/>
      </w:pPr>
      <w:r>
        <w:t>Equity</w:t>
      </w:r>
    </w:p>
    <w:p w14:paraId="13BDA353" w14:textId="77777777" w:rsidR="00E13C3A" w:rsidRDefault="00E13C3A" w:rsidP="00E204D5">
      <w:pPr>
        <w:pStyle w:val="ListBullet"/>
      </w:pPr>
      <w:r>
        <w:t>Transparency</w:t>
      </w:r>
    </w:p>
    <w:p w14:paraId="6D2F69E9" w14:textId="6C65D61F" w:rsidR="00E13C3A" w:rsidRDefault="00E13C3A" w:rsidP="00E204D5">
      <w:pPr>
        <w:pStyle w:val="ListBullet"/>
      </w:pPr>
      <w:r>
        <w:t>Respect</w:t>
      </w:r>
    </w:p>
    <w:p w14:paraId="3753198A" w14:textId="5F8920E1" w:rsidR="00B57BD3" w:rsidRPr="00B57BD3" w:rsidRDefault="00B57BD3" w:rsidP="00B57BD3">
      <w:pPr>
        <w:rPr>
          <w:rFonts w:eastAsia="Times New Roman" w:cstheme="minorHAnsi"/>
          <w:bCs/>
          <w:lang w:eastAsia="en-AU"/>
        </w:rPr>
      </w:pPr>
      <w:r w:rsidRPr="00B57BD3">
        <w:rPr>
          <w:rFonts w:eastAsia="Times New Roman" w:cstheme="minorHAnsi"/>
          <w:bCs/>
          <w:lang w:eastAsia="en-AU"/>
        </w:rPr>
        <w:t xml:space="preserve">All individuals employed, appointed or otherwise engaged to work for the Authority are provided with a copy of the </w:t>
      </w:r>
      <w:r>
        <w:rPr>
          <w:rFonts w:eastAsia="Times New Roman" w:cstheme="minorHAnsi"/>
          <w:bCs/>
          <w:lang w:eastAsia="en-AU"/>
        </w:rPr>
        <w:t xml:space="preserve">Authority’s </w:t>
      </w:r>
      <w:r w:rsidRPr="00B57BD3">
        <w:rPr>
          <w:rFonts w:eastAsia="Times New Roman" w:cstheme="minorHAnsi"/>
          <w:bCs/>
          <w:lang w:eastAsia="en-AU"/>
        </w:rPr>
        <w:t xml:space="preserve">Code of Conduct to read, understand, sign and return to the Authority. </w:t>
      </w:r>
    </w:p>
    <w:p w14:paraId="0A07A644" w14:textId="77777777" w:rsidR="00B57BD3" w:rsidRPr="00B57BD3" w:rsidRDefault="00B57BD3" w:rsidP="00E204D5">
      <w:pPr>
        <w:rPr>
          <w:lang w:eastAsia="en-AU"/>
        </w:rPr>
      </w:pPr>
      <w:r w:rsidRPr="00B57BD3">
        <w:rPr>
          <w:lang w:eastAsia="en-AU"/>
        </w:rPr>
        <w:t>The Code of Conduct directs individuals to behave in a way that ensures the Authority workplace is free from all forms of discrimination and informs them that it is illegal to discriminate on grounds of impairment or disability. It states that:</w:t>
      </w:r>
    </w:p>
    <w:p w14:paraId="62823E17" w14:textId="77777777" w:rsidR="00B57BD3" w:rsidRPr="00B57BD3" w:rsidRDefault="00B57BD3" w:rsidP="00F86AEC">
      <w:pPr>
        <w:pStyle w:val="Quotedbulletpoint"/>
        <w:numPr>
          <w:ilvl w:val="0"/>
          <w:numId w:val="0"/>
        </w:numPr>
        <w:ind w:left="924"/>
      </w:pPr>
      <w:r w:rsidRPr="00B57BD3">
        <w:t>Authority staff should behave in a way that ensures that the workplace is free from all forms of harassment and discrimination. It is illegal to discriminate on the grounds of gender, marital status, pregnancy, age, ethnic or national origin, physical or intellectual impairment, sexual preference or religious or political convictions, irrelevant criminal record and family carer’s responsibility. In particular, the Authority does not tolerate bullying in any form.</w:t>
      </w:r>
    </w:p>
    <w:p w14:paraId="3994EBD2" w14:textId="77777777" w:rsidR="00B57BD3" w:rsidRPr="00B57BD3" w:rsidRDefault="00B57BD3" w:rsidP="00B57BD3">
      <w:pPr>
        <w:rPr>
          <w:rFonts w:eastAsia="Times New Roman" w:cstheme="minorHAnsi"/>
          <w:bCs/>
          <w:lang w:eastAsia="en-AU"/>
        </w:rPr>
      </w:pPr>
      <w:r w:rsidRPr="00B57BD3">
        <w:rPr>
          <w:rFonts w:eastAsia="Times New Roman" w:cstheme="minorHAnsi"/>
          <w:bCs/>
          <w:lang w:eastAsia="en-AU"/>
        </w:rPr>
        <w:t xml:space="preserve">The Code of Conduct is reviewed and updated annually. </w:t>
      </w:r>
    </w:p>
    <w:p w14:paraId="4EFF09C7" w14:textId="77777777" w:rsidR="00E13C3A" w:rsidRDefault="00E13C3A" w:rsidP="006E0ACE">
      <w:pPr>
        <w:pStyle w:val="Heading2"/>
      </w:pPr>
      <w:r w:rsidRPr="009408A9">
        <w:t>Our stakeholders</w:t>
      </w:r>
    </w:p>
    <w:p w14:paraId="2926F421" w14:textId="77777777" w:rsidR="009408A9" w:rsidRDefault="009408A9" w:rsidP="009408A9">
      <w:r>
        <w:t>The Authority serves:</w:t>
      </w:r>
    </w:p>
    <w:p w14:paraId="567071D9" w14:textId="11C365CB" w:rsidR="00E13C3A" w:rsidRDefault="00243821" w:rsidP="00E204D5">
      <w:pPr>
        <w:pStyle w:val="ListBullet"/>
      </w:pPr>
      <w:r>
        <w:t>s</w:t>
      </w:r>
      <w:r w:rsidR="00E13C3A">
        <w:t>tudents and teachers from Kindergarten to Year 12 in every school in Western Australia</w:t>
      </w:r>
    </w:p>
    <w:p w14:paraId="32CC8632" w14:textId="72180C90" w:rsidR="00E13C3A" w:rsidRDefault="00ED165B" w:rsidP="00E204D5">
      <w:pPr>
        <w:pStyle w:val="ListBullet"/>
      </w:pPr>
      <w:r>
        <w:t>s</w:t>
      </w:r>
      <w:r w:rsidR="00E13C3A">
        <w:t>tudents and teachers in international schools using the Western Australian curriculum by arrangement with the Authority</w:t>
      </w:r>
    </w:p>
    <w:p w14:paraId="6B45095F" w14:textId="5FE1E6AB" w:rsidR="00E13C3A" w:rsidRDefault="00ED165B" w:rsidP="00E204D5">
      <w:pPr>
        <w:pStyle w:val="ListBullet"/>
      </w:pPr>
      <w:r>
        <w:t>p</w:t>
      </w:r>
      <w:r w:rsidR="00E13C3A">
        <w:t>arents, school administrators and bodies representative of the school sector/systems, including the Association of Independent Schools of Western Australia, Catholic Education Western Australia, the Department of Education, preschools and early learning centres, home educators, Technical and Further Education (TAFE)</w:t>
      </w:r>
      <w:r w:rsidR="00E73D31">
        <w:t xml:space="preserve"> institutions</w:t>
      </w:r>
      <w:r w:rsidR="00E13C3A">
        <w:t>, universities, national education authorities and the community of Western Australia.</w:t>
      </w:r>
    </w:p>
    <w:p w14:paraId="52858037" w14:textId="17CD6649" w:rsidR="006364A7" w:rsidRDefault="006364A7" w:rsidP="00BE3A38">
      <w:pPr>
        <w:rPr>
          <w:rFonts w:cstheme="minorHAnsi"/>
        </w:rPr>
      </w:pPr>
      <w:r w:rsidRPr="006364A7">
        <w:rPr>
          <w:rFonts w:cstheme="minorHAnsi"/>
        </w:rPr>
        <w:lastRenderedPageBreak/>
        <w:t>Opportunities for community consultation occur through committees, working parties and other forums. Members of the public (including students, parents, teachers, staff of tertiary institutions, employers and interested members of the public) may be affected by the decisions of the Authority in the areas of curriculum provision, syllabus changes, certification, assessment procedures and tertiary entrance examinations</w:t>
      </w:r>
      <w:r>
        <w:rPr>
          <w:rFonts w:cstheme="minorHAnsi"/>
        </w:rPr>
        <w:t>.</w:t>
      </w:r>
      <w:r w:rsidR="005001A1">
        <w:rPr>
          <w:rFonts w:cstheme="minorHAnsi"/>
        </w:rPr>
        <w:t xml:space="preserve"> All stakeholders can provide feedback and comments to the Authority via email to </w:t>
      </w:r>
      <w:hyperlink r:id="rId19" w:history="1">
        <w:r w:rsidR="005001A1" w:rsidRPr="00954C67">
          <w:rPr>
            <w:rStyle w:val="Hyperlink"/>
            <w:rFonts w:cstheme="minorHAnsi"/>
          </w:rPr>
          <w:t>info@scsa.wa.edu.au</w:t>
        </w:r>
      </w:hyperlink>
      <w:r w:rsidR="004865D4" w:rsidRPr="00D10E4F">
        <w:t>, by</w:t>
      </w:r>
      <w:r w:rsidR="005001A1">
        <w:rPr>
          <w:rFonts w:cstheme="minorHAnsi"/>
        </w:rPr>
        <w:t xml:space="preserve"> telephone </w:t>
      </w:r>
      <w:r w:rsidR="004865D4">
        <w:rPr>
          <w:rFonts w:cstheme="minorHAnsi"/>
        </w:rPr>
        <w:t xml:space="preserve">on </w:t>
      </w:r>
      <w:r w:rsidR="005001A1">
        <w:rPr>
          <w:rFonts w:cstheme="minorHAnsi"/>
        </w:rPr>
        <w:t xml:space="preserve">08 9273 6300 or </w:t>
      </w:r>
      <w:r w:rsidR="00C30C19">
        <w:rPr>
          <w:rFonts w:cstheme="minorHAnsi"/>
        </w:rPr>
        <w:t xml:space="preserve">in person </w:t>
      </w:r>
      <w:r w:rsidR="005001A1">
        <w:rPr>
          <w:rFonts w:cstheme="minorHAnsi"/>
        </w:rPr>
        <w:t>by visiting the Authority office at Level 2, 303 Sevenoaks Street</w:t>
      </w:r>
      <w:r w:rsidR="00061175">
        <w:rPr>
          <w:rFonts w:cstheme="minorHAnsi"/>
        </w:rPr>
        <w:t>,</w:t>
      </w:r>
      <w:r w:rsidR="005001A1">
        <w:rPr>
          <w:rFonts w:cstheme="minorHAnsi"/>
        </w:rPr>
        <w:t xml:space="preserve"> Cannington, Western Australia.</w:t>
      </w:r>
    </w:p>
    <w:p w14:paraId="6F9F52FF" w14:textId="38B55A1D" w:rsidR="00695A1B" w:rsidRDefault="00566A71" w:rsidP="006E0ACE">
      <w:pPr>
        <w:pStyle w:val="Heading1"/>
      </w:pPr>
      <w:r w:rsidRPr="00111244">
        <w:t>Development</w:t>
      </w:r>
    </w:p>
    <w:p w14:paraId="1F905B76" w14:textId="5EB0E3BA" w:rsidR="00B80B99" w:rsidRPr="00F86AEC" w:rsidRDefault="005001A1" w:rsidP="00B80B99">
      <w:pPr>
        <w:rPr>
          <w:rFonts w:cstheme="minorHAnsi"/>
        </w:rPr>
      </w:pPr>
      <w:r w:rsidRPr="00F86AEC">
        <w:rPr>
          <w:rFonts w:cstheme="minorHAnsi"/>
        </w:rPr>
        <w:t>Our DAIP is intended to benefit all people</w:t>
      </w:r>
      <w:r w:rsidR="001D77F3" w:rsidRPr="00F86AEC">
        <w:rPr>
          <w:rFonts w:cstheme="minorHAnsi"/>
        </w:rPr>
        <w:t xml:space="preserve"> including</w:t>
      </w:r>
      <w:r w:rsidR="00D10E4F" w:rsidRPr="00F86AEC">
        <w:rPr>
          <w:rFonts w:cstheme="minorHAnsi"/>
        </w:rPr>
        <w:t>,</w:t>
      </w:r>
      <w:r w:rsidR="001D77F3" w:rsidRPr="00F86AEC">
        <w:rPr>
          <w:rFonts w:cstheme="minorHAnsi"/>
        </w:rPr>
        <w:t xml:space="preserve"> but not limited to</w:t>
      </w:r>
      <w:r w:rsidR="00D10E4F" w:rsidRPr="00F86AEC">
        <w:rPr>
          <w:rFonts w:cstheme="minorHAnsi"/>
        </w:rPr>
        <w:t>,</w:t>
      </w:r>
      <w:r w:rsidR="001D77F3" w:rsidRPr="00F86AEC">
        <w:rPr>
          <w:rFonts w:cstheme="minorHAnsi"/>
        </w:rPr>
        <w:t xml:space="preserve"> people</w:t>
      </w:r>
      <w:r w:rsidRPr="00F86AEC">
        <w:rPr>
          <w:rFonts w:cstheme="minorHAnsi"/>
        </w:rPr>
        <w:t xml:space="preserve"> with disability, the elderly,</w:t>
      </w:r>
      <w:r w:rsidR="001D77F3" w:rsidRPr="00F86AEC">
        <w:rPr>
          <w:rFonts w:cstheme="minorHAnsi"/>
        </w:rPr>
        <w:t xml:space="preserve"> the</w:t>
      </w:r>
      <w:r w:rsidRPr="00F86AEC">
        <w:rPr>
          <w:rFonts w:cstheme="minorHAnsi"/>
        </w:rPr>
        <w:t xml:space="preserve"> young</w:t>
      </w:r>
      <w:r w:rsidR="001D77F3" w:rsidRPr="00F86AEC">
        <w:rPr>
          <w:rFonts w:cstheme="minorHAnsi"/>
        </w:rPr>
        <w:t>,</w:t>
      </w:r>
      <w:r w:rsidRPr="00F86AEC">
        <w:rPr>
          <w:rFonts w:cstheme="minorHAnsi"/>
        </w:rPr>
        <w:t xml:space="preserve"> and people from culturally and linguistically diverse backgrounds.</w:t>
      </w:r>
      <w:r w:rsidR="00B80B99" w:rsidRPr="00F86AEC">
        <w:rPr>
          <w:rFonts w:cstheme="minorHAnsi"/>
        </w:rPr>
        <w:t xml:space="preserve"> The Authority considered previous DAIP strategies, outcomes, and research into good practice in access and inclusion in developing its DAIP 202</w:t>
      </w:r>
      <w:r w:rsidR="00B55C8C" w:rsidRPr="00F86AEC">
        <w:rPr>
          <w:rFonts w:cstheme="minorHAnsi"/>
        </w:rPr>
        <w:t>3</w:t>
      </w:r>
      <w:r w:rsidR="005F3410" w:rsidRPr="00F86AEC">
        <w:rPr>
          <w:rFonts w:cstheme="minorHAnsi"/>
          <w:iCs/>
        </w:rPr>
        <w:t>–</w:t>
      </w:r>
      <w:r w:rsidR="00B80B99" w:rsidRPr="00F86AEC">
        <w:rPr>
          <w:rFonts w:cstheme="minorHAnsi"/>
        </w:rPr>
        <w:t>2027.</w:t>
      </w:r>
    </w:p>
    <w:p w14:paraId="25C17BD0" w14:textId="758281A4" w:rsidR="00B866DF" w:rsidRPr="00F86AEC" w:rsidRDefault="00892B3D" w:rsidP="00B866DF">
      <w:pPr>
        <w:rPr>
          <w:rFonts w:cstheme="minorHAnsi"/>
        </w:rPr>
      </w:pPr>
      <w:r w:rsidRPr="00F86AEC">
        <w:rPr>
          <w:rFonts w:cstheme="minorHAnsi"/>
        </w:rPr>
        <w:t xml:space="preserve">The </w:t>
      </w:r>
      <w:r w:rsidRPr="00F86AEC">
        <w:rPr>
          <w:rFonts w:cstheme="minorHAnsi"/>
          <w:i/>
        </w:rPr>
        <w:t>Disability Services Act 1993</w:t>
      </w:r>
      <w:r w:rsidRPr="00F86AEC">
        <w:rPr>
          <w:rFonts w:cstheme="minorHAnsi"/>
        </w:rPr>
        <w:t xml:space="preserve"> sets out the minimum consultation requirements for public authorities in relation to</w:t>
      </w:r>
      <w:r w:rsidR="005001A1" w:rsidRPr="00F86AEC">
        <w:rPr>
          <w:rFonts w:cstheme="minorHAnsi"/>
        </w:rPr>
        <w:t xml:space="preserve"> the</w:t>
      </w:r>
      <w:r w:rsidRPr="00F86AEC">
        <w:rPr>
          <w:rFonts w:cstheme="minorHAnsi"/>
        </w:rPr>
        <w:t xml:space="preserve"> DAIP. </w:t>
      </w:r>
      <w:r w:rsidR="001C31CE" w:rsidRPr="00F86AEC">
        <w:t xml:space="preserve">For the purposes of section 28(10) of the </w:t>
      </w:r>
      <w:r w:rsidR="001C31CE" w:rsidRPr="00F86AEC">
        <w:rPr>
          <w:i/>
          <w:iCs/>
        </w:rPr>
        <w:t>Disability Act</w:t>
      </w:r>
      <w:r w:rsidR="001C31CE" w:rsidRPr="00F86AEC">
        <w:t xml:space="preserve">, the Authority </w:t>
      </w:r>
      <w:r w:rsidR="001C31CE" w:rsidRPr="00F86AEC">
        <w:rPr>
          <w:rFonts w:ascii="Calibri" w:hAnsi="Calibri" w:cs="Calibri"/>
        </w:rPr>
        <w:t>conducted</w:t>
      </w:r>
      <w:r w:rsidR="001C31CE" w:rsidRPr="00F86AEC">
        <w:t xml:space="preserve"> a DAIP survey inviting all</w:t>
      </w:r>
      <w:r w:rsidR="001C31CE" w:rsidRPr="00F86AEC">
        <w:rPr>
          <w:rFonts w:cstheme="minorHAnsi"/>
        </w:rPr>
        <w:t xml:space="preserve"> people with disability, families, carers, and disability organisations to provide feedback into the development of DAIP</w:t>
      </w:r>
      <w:r w:rsidR="00B866DF" w:rsidRPr="00F86AEC">
        <w:rPr>
          <w:rFonts w:cstheme="minorHAnsi"/>
        </w:rPr>
        <w:t xml:space="preserve">. The DAIP survey was designed to evaluate the performance of the previous DAIP and provided stakeholders with the opportunity to provide feedback by writing or emailing the Authority.  </w:t>
      </w:r>
    </w:p>
    <w:p w14:paraId="3E9F8455" w14:textId="2DA46629" w:rsidR="001C31CE" w:rsidRPr="00F86AEC" w:rsidRDefault="001C31CE" w:rsidP="00B866DF">
      <w:pPr>
        <w:rPr>
          <w:rFonts w:ascii="Calibri" w:hAnsi="Calibri" w:cs="Calibri"/>
        </w:rPr>
      </w:pPr>
      <w:r w:rsidRPr="00F86AEC">
        <w:t xml:space="preserve">To enable </w:t>
      </w:r>
      <w:r w:rsidR="008C2967" w:rsidRPr="00F86AEC">
        <w:t xml:space="preserve">external </w:t>
      </w:r>
      <w:r w:rsidRPr="00F86AEC">
        <w:t xml:space="preserve">consultation with and reach all </w:t>
      </w:r>
      <w:r w:rsidRPr="00F86AEC">
        <w:rPr>
          <w:rFonts w:cstheme="minorHAnsi"/>
        </w:rPr>
        <w:t xml:space="preserve">Authority stakeholders, a public notice </w:t>
      </w:r>
      <w:r w:rsidRPr="00F86AEC">
        <w:t xml:space="preserve">with a link to the survey was placed in the West Australian on 2 February 2023. The </w:t>
      </w:r>
      <w:r w:rsidR="00D10E4F" w:rsidRPr="00F86AEC">
        <w:t xml:space="preserve">survey </w:t>
      </w:r>
      <w:r w:rsidRPr="00F86AEC">
        <w:t xml:space="preserve">was </w:t>
      </w:r>
      <w:r w:rsidR="00B866DF" w:rsidRPr="00F86AEC">
        <w:t xml:space="preserve">also </w:t>
      </w:r>
      <w:r w:rsidRPr="00F86AEC">
        <w:t xml:space="preserve">made available via the Authority website </w:t>
      </w:r>
      <w:r w:rsidR="00B866DF" w:rsidRPr="00F86AEC">
        <w:t xml:space="preserve">and </w:t>
      </w:r>
      <w:r w:rsidRPr="00F86AEC">
        <w:rPr>
          <w:rFonts w:ascii="Calibri" w:hAnsi="Calibri" w:cs="Calibri"/>
        </w:rPr>
        <w:t>social media page (Facebook). Direct promotion to key stakeholders was achieved through the Authority’s K</w:t>
      </w:r>
      <w:r w:rsidR="00D10E4F" w:rsidRPr="00F86AEC">
        <w:rPr>
          <w:rFonts w:ascii="Calibri" w:hAnsi="Calibri" w:cs="Calibri"/>
        </w:rPr>
        <w:t>–</w:t>
      </w:r>
      <w:r w:rsidRPr="00F86AEC">
        <w:rPr>
          <w:rFonts w:ascii="Calibri" w:hAnsi="Calibri" w:cs="Calibri"/>
        </w:rPr>
        <w:t xml:space="preserve">10 and Year 11 and 12 </w:t>
      </w:r>
      <w:r w:rsidR="00F86AEC">
        <w:rPr>
          <w:rFonts w:ascii="Calibri" w:hAnsi="Calibri" w:cs="Calibri"/>
        </w:rPr>
        <w:t>e</w:t>
      </w:r>
      <w:r w:rsidRPr="00F86AEC">
        <w:rPr>
          <w:rFonts w:ascii="Calibri" w:hAnsi="Calibri" w:cs="Calibri"/>
        </w:rPr>
        <w:t xml:space="preserve">Circulars. The survey was strictly confidential and did not ask respondents for identifying details. </w:t>
      </w:r>
    </w:p>
    <w:p w14:paraId="77BEBD9A" w14:textId="083ABEA3" w:rsidR="001D77F3" w:rsidRPr="00F86AEC" w:rsidRDefault="001D77F3" w:rsidP="001D77F3">
      <w:pPr>
        <w:rPr>
          <w:rFonts w:cstheme="minorHAnsi"/>
        </w:rPr>
      </w:pPr>
      <w:r w:rsidRPr="00F86AEC">
        <w:rPr>
          <w:rFonts w:cstheme="minorHAnsi"/>
        </w:rPr>
        <w:t xml:space="preserve">Internal consultation included feedback from the Authority Board, Executive Group, Management Group and staff involved in the delivery of the Authority’s functions. Each business area was given the opportunity to consider and propose actions to support each of the seven DAIP outcome areas </w:t>
      </w:r>
      <w:r w:rsidR="00B80B99" w:rsidRPr="00F86AEC">
        <w:rPr>
          <w:rFonts w:cstheme="minorHAnsi"/>
        </w:rPr>
        <w:t>in their operations.</w:t>
      </w:r>
    </w:p>
    <w:p w14:paraId="541BCC67" w14:textId="52D72FF6" w:rsidR="00A52AE1" w:rsidRPr="00E13C3A" w:rsidRDefault="00FA586D" w:rsidP="00A52AE1">
      <w:pPr>
        <w:rPr>
          <w:rFonts w:cstheme="minorHAnsi"/>
        </w:rPr>
      </w:pPr>
      <w:r w:rsidRPr="00F86AEC">
        <w:rPr>
          <w:rFonts w:cstheme="minorHAnsi"/>
        </w:rPr>
        <w:t xml:space="preserve">The </w:t>
      </w:r>
      <w:r w:rsidR="00B866DF" w:rsidRPr="00F86AEC">
        <w:rPr>
          <w:rFonts w:cstheme="minorHAnsi"/>
        </w:rPr>
        <w:t xml:space="preserve">consultation process outlined above did not indicate any significant gaps in the Authority’s </w:t>
      </w:r>
      <w:r w:rsidRPr="00F86AEC">
        <w:rPr>
          <w:rFonts w:cstheme="minorHAnsi"/>
        </w:rPr>
        <w:t>DAIP</w:t>
      </w:r>
      <w:r w:rsidR="00B866DF" w:rsidRPr="00F86AEC">
        <w:rPr>
          <w:rFonts w:cstheme="minorHAnsi"/>
        </w:rPr>
        <w:t xml:space="preserve">. </w:t>
      </w:r>
      <w:r w:rsidRPr="00F86AEC">
        <w:rPr>
          <w:rFonts w:cstheme="minorHAnsi"/>
        </w:rPr>
        <w:t xml:space="preserve"> </w:t>
      </w:r>
      <w:r w:rsidR="00B866DF" w:rsidRPr="00F86AEC">
        <w:rPr>
          <w:rFonts w:cstheme="minorHAnsi"/>
        </w:rPr>
        <w:t>Therefore, the focus of DAIP 2023</w:t>
      </w:r>
      <w:r w:rsidR="001E149B" w:rsidRPr="00F86AEC">
        <w:rPr>
          <w:rFonts w:cstheme="minorHAnsi"/>
        </w:rPr>
        <w:t>–</w:t>
      </w:r>
      <w:r w:rsidR="00B866DF" w:rsidRPr="00F86AEC">
        <w:rPr>
          <w:rFonts w:cstheme="minorHAnsi"/>
        </w:rPr>
        <w:t xml:space="preserve">2027 is on maintaining existing strategies </w:t>
      </w:r>
      <w:r w:rsidR="008C2967" w:rsidRPr="00F86AEC">
        <w:rPr>
          <w:rFonts w:cstheme="minorHAnsi"/>
        </w:rPr>
        <w:t xml:space="preserve">as well as introducing new priorities to align with </w:t>
      </w:r>
      <w:r w:rsidR="00B866DF" w:rsidRPr="00F86AEC">
        <w:rPr>
          <w:rFonts w:cstheme="minorHAnsi"/>
        </w:rPr>
        <w:t>the Authority</w:t>
      </w:r>
      <w:r w:rsidR="008C2967" w:rsidRPr="00F86AEC">
        <w:rPr>
          <w:rFonts w:cstheme="minorHAnsi"/>
        </w:rPr>
        <w:t>’s desire to</w:t>
      </w:r>
      <w:r w:rsidR="00B866DF" w:rsidRPr="00F86AEC">
        <w:rPr>
          <w:rFonts w:cstheme="minorHAnsi"/>
        </w:rPr>
        <w:t xml:space="preserve"> remain vigilant</w:t>
      </w:r>
      <w:r w:rsidR="008C2967" w:rsidRPr="00F86AEC">
        <w:rPr>
          <w:rFonts w:cstheme="minorHAnsi"/>
        </w:rPr>
        <w:t xml:space="preserve"> and respond to any</w:t>
      </w:r>
      <w:r w:rsidR="00B866DF" w:rsidRPr="00F86AEC">
        <w:rPr>
          <w:rFonts w:cstheme="minorHAnsi"/>
        </w:rPr>
        <w:t xml:space="preserve"> emerging </w:t>
      </w:r>
      <w:r w:rsidR="008C2967" w:rsidRPr="00F86AEC">
        <w:rPr>
          <w:rFonts w:cstheme="minorHAnsi"/>
        </w:rPr>
        <w:t>areas lacking in access and inclusion support.</w:t>
      </w:r>
    </w:p>
    <w:p w14:paraId="1CAEDA52" w14:textId="036F1451" w:rsidR="00695A1B" w:rsidRPr="00FF6A85" w:rsidRDefault="00F36886" w:rsidP="006E0ACE">
      <w:pPr>
        <w:pStyle w:val="Heading1"/>
      </w:pPr>
      <w:r>
        <w:t>DAIP</w:t>
      </w:r>
      <w:r w:rsidR="00566A71" w:rsidRPr="00FF6A85">
        <w:t xml:space="preserve"> </w:t>
      </w:r>
      <w:r w:rsidR="00695A1B" w:rsidRPr="00FF6A85">
        <w:t>Strategies</w:t>
      </w:r>
    </w:p>
    <w:p w14:paraId="7AFA4105" w14:textId="3017FE79" w:rsidR="00FA586D" w:rsidRPr="00E13C3A" w:rsidRDefault="00B80B99" w:rsidP="00FA586D">
      <w:pPr>
        <w:rPr>
          <w:rFonts w:cstheme="minorHAnsi"/>
        </w:rPr>
      </w:pPr>
      <w:r w:rsidRPr="00E13C3A">
        <w:rPr>
          <w:rFonts w:cstheme="minorHAnsi"/>
        </w:rPr>
        <w:t xml:space="preserve">The Authority </w:t>
      </w:r>
      <w:r>
        <w:rPr>
          <w:rFonts w:cstheme="minorHAnsi"/>
        </w:rPr>
        <w:t xml:space="preserve">strategies to achieve the seven DAIP </w:t>
      </w:r>
      <w:r w:rsidRPr="00E13C3A">
        <w:rPr>
          <w:rFonts w:cstheme="minorHAnsi"/>
        </w:rPr>
        <w:t>outcome</w:t>
      </w:r>
      <w:r>
        <w:rPr>
          <w:rFonts w:cstheme="minorHAnsi"/>
        </w:rPr>
        <w:t>s are</w:t>
      </w:r>
      <w:r w:rsidRPr="00E13C3A">
        <w:rPr>
          <w:rFonts w:cstheme="minorHAnsi"/>
        </w:rPr>
        <w:t xml:space="preserve"> detailed in Appendix 1.</w:t>
      </w:r>
      <w:r>
        <w:rPr>
          <w:rFonts w:cstheme="minorHAnsi"/>
        </w:rPr>
        <w:t xml:space="preserve"> </w:t>
      </w:r>
      <w:r w:rsidR="00FA586D" w:rsidRPr="00E13C3A">
        <w:rPr>
          <w:rFonts w:cstheme="minorHAnsi"/>
        </w:rPr>
        <w:t xml:space="preserve">There are seven DAIP outcomes which the Authority seeks to achieve. </w:t>
      </w:r>
    </w:p>
    <w:p w14:paraId="6D9D56B9" w14:textId="1814F8D5" w:rsidR="00FA586D" w:rsidRPr="0090773F" w:rsidRDefault="0090773F" w:rsidP="0090773F">
      <w:pPr>
        <w:rPr>
          <w:rFonts w:cstheme="minorHAnsi"/>
        </w:rPr>
      </w:pPr>
      <w:r>
        <w:rPr>
          <w:rFonts w:cstheme="minorHAnsi"/>
          <w:b/>
        </w:rPr>
        <w:t xml:space="preserve">Outcome 1: </w:t>
      </w:r>
      <w:r w:rsidR="00952F29" w:rsidRPr="0090773F">
        <w:rPr>
          <w:rFonts w:cstheme="minorHAnsi"/>
          <w:b/>
        </w:rPr>
        <w:t>Services and events</w:t>
      </w:r>
      <w:r w:rsidRPr="0090773F">
        <w:rPr>
          <w:rFonts w:cstheme="minorHAnsi"/>
          <w:b/>
        </w:rPr>
        <w:t>.</w:t>
      </w:r>
      <w:r w:rsidR="00952F29" w:rsidRPr="0090773F">
        <w:rPr>
          <w:rFonts w:cstheme="minorHAnsi"/>
        </w:rPr>
        <w:t xml:space="preserve"> </w:t>
      </w:r>
      <w:r w:rsidRPr="0090773F">
        <w:rPr>
          <w:rFonts w:cstheme="minorHAnsi"/>
        </w:rPr>
        <w:t>People</w:t>
      </w:r>
      <w:r w:rsidR="00FA586D" w:rsidRPr="0090773F">
        <w:rPr>
          <w:rFonts w:cstheme="minorHAnsi"/>
        </w:rPr>
        <w:t xml:space="preserve"> with disability have the same opportunities as other people to access the services of, and any events organised by, the </w:t>
      </w:r>
      <w:r w:rsidR="00C93576">
        <w:rPr>
          <w:rFonts w:cstheme="minorHAnsi"/>
        </w:rPr>
        <w:t>Authority</w:t>
      </w:r>
      <w:r w:rsidR="00FA586D" w:rsidRPr="0090773F">
        <w:rPr>
          <w:rFonts w:cstheme="minorHAnsi"/>
        </w:rPr>
        <w:t>.</w:t>
      </w:r>
    </w:p>
    <w:p w14:paraId="4814E56D" w14:textId="22C71E23" w:rsidR="00FA586D" w:rsidRPr="0090773F" w:rsidRDefault="0090773F" w:rsidP="0090773F">
      <w:pPr>
        <w:rPr>
          <w:rFonts w:cstheme="minorHAnsi"/>
        </w:rPr>
      </w:pPr>
      <w:r>
        <w:rPr>
          <w:rFonts w:cstheme="minorHAnsi"/>
          <w:b/>
        </w:rPr>
        <w:t xml:space="preserve">Outcome 2: </w:t>
      </w:r>
      <w:r w:rsidR="00952F29" w:rsidRPr="0090773F">
        <w:rPr>
          <w:rFonts w:cstheme="minorHAnsi"/>
          <w:b/>
        </w:rPr>
        <w:t>Buildings and facilities</w:t>
      </w:r>
      <w:r w:rsidRPr="0090773F">
        <w:rPr>
          <w:rFonts w:cstheme="minorHAnsi"/>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have the same opportunities as other people to access the buildings and other facilities of the </w:t>
      </w:r>
      <w:r w:rsidR="00C93576">
        <w:rPr>
          <w:rFonts w:cstheme="minorHAnsi"/>
        </w:rPr>
        <w:t>Authority</w:t>
      </w:r>
      <w:r w:rsidR="00FA586D" w:rsidRPr="0090773F">
        <w:rPr>
          <w:rFonts w:cstheme="minorHAnsi"/>
        </w:rPr>
        <w:t>.</w:t>
      </w:r>
    </w:p>
    <w:p w14:paraId="64B267ED" w14:textId="3819771F" w:rsidR="00FA586D" w:rsidRPr="0090773F" w:rsidRDefault="0090773F" w:rsidP="0090773F">
      <w:pPr>
        <w:rPr>
          <w:rFonts w:cstheme="minorHAnsi"/>
        </w:rPr>
      </w:pPr>
      <w:r>
        <w:rPr>
          <w:rFonts w:cstheme="minorHAnsi"/>
          <w:b/>
        </w:rPr>
        <w:lastRenderedPageBreak/>
        <w:t xml:space="preserve">Outcome 3: </w:t>
      </w:r>
      <w:r w:rsidR="00952F29" w:rsidRPr="0090773F">
        <w:rPr>
          <w:rFonts w:cstheme="minorHAnsi"/>
          <w:b/>
        </w:rPr>
        <w:t>Accessible information</w:t>
      </w:r>
      <w:r w:rsidRPr="0090773F">
        <w:rPr>
          <w:rFonts w:cstheme="minorHAnsi"/>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receive information from the </w:t>
      </w:r>
      <w:r w:rsidR="00C93576">
        <w:rPr>
          <w:rFonts w:cstheme="minorHAnsi"/>
        </w:rPr>
        <w:t>Authority</w:t>
      </w:r>
      <w:r w:rsidR="00C93576" w:rsidRPr="0090773F">
        <w:rPr>
          <w:rFonts w:cstheme="minorHAnsi"/>
        </w:rPr>
        <w:t xml:space="preserve"> </w:t>
      </w:r>
      <w:r w:rsidR="00FA586D" w:rsidRPr="0090773F">
        <w:rPr>
          <w:rFonts w:cstheme="minorHAnsi"/>
        </w:rPr>
        <w:t>in a format that will enable them to access the information as readily as other people are able to access it.</w:t>
      </w:r>
    </w:p>
    <w:p w14:paraId="2B49ED6E" w14:textId="5A1BCB04" w:rsidR="00FA586D" w:rsidRPr="0090773F" w:rsidRDefault="0090773F" w:rsidP="0090773F">
      <w:pPr>
        <w:rPr>
          <w:rFonts w:cstheme="minorHAnsi"/>
        </w:rPr>
      </w:pPr>
      <w:r>
        <w:rPr>
          <w:rFonts w:cstheme="minorHAnsi"/>
          <w:b/>
        </w:rPr>
        <w:t xml:space="preserve">Outcome 4: </w:t>
      </w:r>
      <w:r w:rsidR="00952F29" w:rsidRPr="0090773F">
        <w:rPr>
          <w:rFonts w:cstheme="minorHAnsi"/>
          <w:b/>
        </w:rPr>
        <w:t>Service</w:t>
      </w:r>
      <w:r w:rsidRPr="0090773F">
        <w:rPr>
          <w:rFonts w:cstheme="minorHAnsi"/>
          <w:b/>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receive the same level and quality of services from the staff of the </w:t>
      </w:r>
      <w:r w:rsidR="00C93576">
        <w:rPr>
          <w:rFonts w:cstheme="minorHAnsi"/>
        </w:rPr>
        <w:t>Authority</w:t>
      </w:r>
      <w:r w:rsidR="00C93576" w:rsidRPr="0090773F">
        <w:rPr>
          <w:rFonts w:cstheme="minorHAnsi"/>
        </w:rPr>
        <w:t xml:space="preserve"> </w:t>
      </w:r>
      <w:r w:rsidR="00FA586D" w:rsidRPr="0090773F">
        <w:rPr>
          <w:rFonts w:cstheme="minorHAnsi"/>
        </w:rPr>
        <w:t>as other people receive</w:t>
      </w:r>
      <w:r w:rsidR="00C93576">
        <w:rPr>
          <w:rFonts w:cstheme="minorHAnsi"/>
        </w:rPr>
        <w:t xml:space="preserve"> from the staff of the Authority</w:t>
      </w:r>
      <w:r w:rsidR="00FA586D" w:rsidRPr="0090773F">
        <w:rPr>
          <w:rFonts w:cstheme="minorHAnsi"/>
        </w:rPr>
        <w:t>.</w:t>
      </w:r>
    </w:p>
    <w:p w14:paraId="4E2651E1" w14:textId="5E6F3A47" w:rsidR="00FA586D" w:rsidRPr="0090773F" w:rsidRDefault="0090773F" w:rsidP="0090773F">
      <w:pPr>
        <w:rPr>
          <w:rFonts w:cstheme="minorHAnsi"/>
        </w:rPr>
      </w:pPr>
      <w:r>
        <w:rPr>
          <w:rFonts w:cstheme="minorHAnsi"/>
          <w:b/>
        </w:rPr>
        <w:t xml:space="preserve">Outcome 5: </w:t>
      </w:r>
      <w:r w:rsidR="00952F29" w:rsidRPr="0090773F">
        <w:rPr>
          <w:rFonts w:cstheme="minorHAnsi"/>
          <w:b/>
        </w:rPr>
        <w:t>Complaints</w:t>
      </w:r>
      <w:r w:rsidRPr="0090773F">
        <w:rPr>
          <w:rFonts w:cstheme="minorHAnsi"/>
          <w:b/>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have the same opportunities as other people to make complaints to the </w:t>
      </w:r>
      <w:r w:rsidR="00C93576">
        <w:rPr>
          <w:rFonts w:cstheme="minorHAnsi"/>
        </w:rPr>
        <w:t>Authority</w:t>
      </w:r>
      <w:r w:rsidR="00FA586D" w:rsidRPr="0090773F">
        <w:rPr>
          <w:rFonts w:cstheme="minorHAnsi"/>
        </w:rPr>
        <w:t>.</w:t>
      </w:r>
    </w:p>
    <w:p w14:paraId="2F1FF211" w14:textId="2C1F467B" w:rsidR="00FA586D" w:rsidRPr="0090773F" w:rsidRDefault="0090773F" w:rsidP="0090773F">
      <w:pPr>
        <w:rPr>
          <w:rFonts w:cstheme="minorHAnsi"/>
        </w:rPr>
      </w:pPr>
      <w:r>
        <w:rPr>
          <w:rFonts w:cstheme="minorHAnsi"/>
          <w:b/>
        </w:rPr>
        <w:t xml:space="preserve">Outcome 6: </w:t>
      </w:r>
      <w:r w:rsidR="00952F29" w:rsidRPr="0090773F">
        <w:rPr>
          <w:rFonts w:cstheme="minorHAnsi"/>
          <w:b/>
        </w:rPr>
        <w:t>Consultation</w:t>
      </w:r>
      <w:r w:rsidRPr="0090773F">
        <w:rPr>
          <w:rFonts w:cstheme="minorHAnsi"/>
          <w:b/>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have the same opportunities as other people to participate in any public consultation by the </w:t>
      </w:r>
      <w:r w:rsidR="00C93576">
        <w:rPr>
          <w:rFonts w:cstheme="minorHAnsi"/>
        </w:rPr>
        <w:t>Authority</w:t>
      </w:r>
      <w:r w:rsidR="00FA586D" w:rsidRPr="0090773F">
        <w:rPr>
          <w:rFonts w:cstheme="minorHAnsi"/>
        </w:rPr>
        <w:t>.</w:t>
      </w:r>
    </w:p>
    <w:p w14:paraId="77963B08" w14:textId="0FF3FE26" w:rsidR="00FA586D" w:rsidRPr="0090773F" w:rsidRDefault="0090773F" w:rsidP="0090773F">
      <w:pPr>
        <w:rPr>
          <w:rFonts w:cstheme="minorHAnsi"/>
        </w:rPr>
      </w:pPr>
      <w:r>
        <w:rPr>
          <w:rFonts w:cstheme="minorHAnsi"/>
          <w:b/>
        </w:rPr>
        <w:t xml:space="preserve">Outcome 7: </w:t>
      </w:r>
      <w:r w:rsidR="00952F29" w:rsidRPr="0090773F">
        <w:rPr>
          <w:rFonts w:cstheme="minorHAnsi"/>
          <w:b/>
        </w:rPr>
        <w:t>Employment</w:t>
      </w:r>
      <w:r>
        <w:rPr>
          <w:rFonts w:cstheme="minorHAnsi"/>
          <w:b/>
        </w:rPr>
        <w:t>.</w:t>
      </w:r>
      <w:r w:rsidR="00952F29" w:rsidRPr="0090773F">
        <w:rPr>
          <w:rFonts w:cstheme="minorHAnsi"/>
        </w:rPr>
        <w:t xml:space="preserve"> </w:t>
      </w:r>
      <w:r w:rsidRPr="0090773F">
        <w:rPr>
          <w:rFonts w:cstheme="minorHAnsi"/>
        </w:rPr>
        <w:t>P</w:t>
      </w:r>
      <w:r w:rsidR="00FA586D" w:rsidRPr="0090773F">
        <w:rPr>
          <w:rFonts w:cstheme="minorHAnsi"/>
        </w:rPr>
        <w:t xml:space="preserve">eople with disability have the same opportunities as other people to obtain and maintain employment with the </w:t>
      </w:r>
      <w:r w:rsidR="00C93576">
        <w:rPr>
          <w:rFonts w:cstheme="minorHAnsi"/>
        </w:rPr>
        <w:t>Authority</w:t>
      </w:r>
      <w:r w:rsidR="00FA586D" w:rsidRPr="0090773F">
        <w:rPr>
          <w:rFonts w:cstheme="minorHAnsi"/>
        </w:rPr>
        <w:t>.</w:t>
      </w:r>
    </w:p>
    <w:p w14:paraId="2279F2A6" w14:textId="03BDFE35" w:rsidR="00FF6A85" w:rsidRPr="00111244" w:rsidRDefault="00FF6A85" w:rsidP="006E0ACE">
      <w:pPr>
        <w:pStyle w:val="Heading1"/>
      </w:pPr>
      <w:r w:rsidRPr="00111244">
        <w:t>Implementation</w:t>
      </w:r>
    </w:p>
    <w:p w14:paraId="66695E6D" w14:textId="26FE5030" w:rsidR="00720182" w:rsidRPr="00E13C3A" w:rsidRDefault="00720182" w:rsidP="00720182">
      <w:pPr>
        <w:rPr>
          <w:rFonts w:eastAsia="Times New Roman" w:cstheme="minorHAnsi"/>
          <w:bCs/>
          <w:lang w:eastAsia="en-AU"/>
        </w:rPr>
      </w:pPr>
      <w:r>
        <w:rPr>
          <w:rFonts w:eastAsia="Times New Roman" w:cstheme="minorHAnsi"/>
          <w:bCs/>
          <w:lang w:eastAsia="en-AU"/>
        </w:rPr>
        <w:t xml:space="preserve">Implementation is the responsibility of all staff and individuals engaged in the delivery of the Authority’s functions. </w:t>
      </w:r>
      <w:r w:rsidRPr="00E13C3A">
        <w:rPr>
          <w:rFonts w:eastAsia="Times New Roman" w:cstheme="minorHAnsi"/>
          <w:bCs/>
          <w:lang w:eastAsia="en-AU"/>
        </w:rPr>
        <w:t xml:space="preserve">The Authority’s DAIP identifies </w:t>
      </w:r>
      <w:r w:rsidRPr="00F86AEC">
        <w:rPr>
          <w:rFonts w:eastAsia="Times New Roman" w:cstheme="minorHAnsi"/>
          <w:bCs/>
          <w:lang w:eastAsia="en-AU"/>
        </w:rPr>
        <w:t>2</w:t>
      </w:r>
      <w:r w:rsidR="00BC00A8" w:rsidRPr="00F86AEC">
        <w:rPr>
          <w:rFonts w:eastAsia="Times New Roman" w:cstheme="minorHAnsi"/>
          <w:bCs/>
          <w:lang w:eastAsia="en-AU"/>
        </w:rPr>
        <w:t>3</w:t>
      </w:r>
      <w:r>
        <w:rPr>
          <w:rFonts w:eastAsia="Times New Roman" w:cstheme="minorHAnsi"/>
          <w:bCs/>
          <w:lang w:eastAsia="en-AU"/>
        </w:rPr>
        <w:t xml:space="preserve"> </w:t>
      </w:r>
      <w:r w:rsidRPr="00E13C3A">
        <w:rPr>
          <w:rFonts w:eastAsia="Times New Roman" w:cstheme="minorHAnsi"/>
          <w:bCs/>
          <w:lang w:eastAsia="en-AU"/>
        </w:rPr>
        <w:t>actions in support of the seven DAIP strategies and outcomes. Implementation of those actions will be achieved through the following measures:</w:t>
      </w:r>
    </w:p>
    <w:p w14:paraId="735860F9" w14:textId="776DCBEF" w:rsidR="00720182" w:rsidRPr="00E13C3A" w:rsidRDefault="00F86AEC" w:rsidP="001E149B">
      <w:pPr>
        <w:pStyle w:val="ListBullet"/>
        <w:rPr>
          <w:lang w:eastAsia="en-AU"/>
        </w:rPr>
      </w:pPr>
      <w:r>
        <w:rPr>
          <w:lang w:eastAsia="en-AU"/>
        </w:rPr>
        <w:t>t</w:t>
      </w:r>
      <w:r w:rsidR="00720182" w:rsidRPr="00E13C3A">
        <w:rPr>
          <w:lang w:eastAsia="en-AU"/>
        </w:rPr>
        <w:t>he</w:t>
      </w:r>
      <w:r w:rsidR="0090773F">
        <w:rPr>
          <w:lang w:eastAsia="en-AU"/>
        </w:rPr>
        <w:t xml:space="preserve"> </w:t>
      </w:r>
      <w:r w:rsidR="00720182" w:rsidRPr="00E13C3A">
        <w:rPr>
          <w:lang w:eastAsia="en-AU"/>
        </w:rPr>
        <w:t xml:space="preserve">DAIP will be promoted to all </w:t>
      </w:r>
      <w:r w:rsidR="00720182">
        <w:rPr>
          <w:lang w:eastAsia="en-AU"/>
        </w:rPr>
        <w:t>individuals</w:t>
      </w:r>
      <w:r w:rsidR="00720182" w:rsidRPr="00E13C3A">
        <w:rPr>
          <w:lang w:eastAsia="en-AU"/>
        </w:rPr>
        <w:t xml:space="preserve"> </w:t>
      </w:r>
      <w:r w:rsidR="00720182">
        <w:rPr>
          <w:lang w:eastAsia="en-AU"/>
        </w:rPr>
        <w:t xml:space="preserve">engaged in the delivery of the Authority’s functions, </w:t>
      </w:r>
      <w:r w:rsidR="00720182" w:rsidRPr="00E13C3A">
        <w:rPr>
          <w:lang w:eastAsia="en-AU"/>
        </w:rPr>
        <w:t xml:space="preserve">so they are aware of their responsibilities in implementing the </w:t>
      </w:r>
      <w:r w:rsidR="00720182" w:rsidRPr="00BC00A8">
        <w:rPr>
          <w:lang w:eastAsia="en-AU"/>
        </w:rPr>
        <w:t>2</w:t>
      </w:r>
      <w:r w:rsidR="00BC00A8">
        <w:rPr>
          <w:lang w:eastAsia="en-AU"/>
        </w:rPr>
        <w:t>3</w:t>
      </w:r>
      <w:r w:rsidR="00720182" w:rsidRPr="00E13C3A">
        <w:rPr>
          <w:lang w:eastAsia="en-AU"/>
        </w:rPr>
        <w:t xml:space="preserve"> actions in support of the DAIP strategies in this plan</w:t>
      </w:r>
    </w:p>
    <w:p w14:paraId="208D2772" w14:textId="77B8EFCE" w:rsidR="00720182" w:rsidRPr="00E13C3A" w:rsidRDefault="0090773F" w:rsidP="001E149B">
      <w:pPr>
        <w:pStyle w:val="ListBullet"/>
        <w:rPr>
          <w:lang w:eastAsia="en-AU"/>
        </w:rPr>
      </w:pPr>
      <w:r>
        <w:rPr>
          <w:lang w:eastAsia="en-AU"/>
        </w:rPr>
        <w:t>t</w:t>
      </w:r>
      <w:r w:rsidR="00720182" w:rsidRPr="00E13C3A">
        <w:rPr>
          <w:lang w:eastAsia="en-AU"/>
        </w:rPr>
        <w:t xml:space="preserve">he DAIP </w:t>
      </w:r>
      <w:r w:rsidR="00720182">
        <w:rPr>
          <w:lang w:eastAsia="en-AU"/>
        </w:rPr>
        <w:t>Working Group</w:t>
      </w:r>
      <w:r w:rsidR="00720182" w:rsidRPr="00E13C3A">
        <w:rPr>
          <w:lang w:eastAsia="en-AU"/>
        </w:rPr>
        <w:t xml:space="preserve"> will meet </w:t>
      </w:r>
      <w:r w:rsidR="00720182">
        <w:rPr>
          <w:lang w:eastAsia="en-AU"/>
        </w:rPr>
        <w:t>three times</w:t>
      </w:r>
      <w:r w:rsidR="00720182" w:rsidRPr="00E13C3A">
        <w:rPr>
          <w:lang w:eastAsia="en-AU"/>
        </w:rPr>
        <w:t xml:space="preserve"> a year to </w:t>
      </w:r>
      <w:r w:rsidR="00720182">
        <w:rPr>
          <w:lang w:eastAsia="en-AU"/>
        </w:rPr>
        <w:t xml:space="preserve">monitor and </w:t>
      </w:r>
      <w:r w:rsidR="00720182" w:rsidRPr="00E13C3A">
        <w:rPr>
          <w:lang w:eastAsia="en-AU"/>
        </w:rPr>
        <w:t>review the progress o</w:t>
      </w:r>
      <w:r w:rsidR="001451F3">
        <w:rPr>
          <w:lang w:eastAsia="en-AU"/>
        </w:rPr>
        <w:t>f</w:t>
      </w:r>
      <w:r w:rsidR="00720182" w:rsidRPr="00E13C3A">
        <w:rPr>
          <w:lang w:eastAsia="en-AU"/>
        </w:rPr>
        <w:t xml:space="preserve"> the implementation of the strategies identified in this DAIP</w:t>
      </w:r>
    </w:p>
    <w:p w14:paraId="622F04F9" w14:textId="0DFDC59B" w:rsidR="00720182" w:rsidRPr="00E13C3A" w:rsidRDefault="0090773F" w:rsidP="001E149B">
      <w:pPr>
        <w:pStyle w:val="ListBullet"/>
        <w:rPr>
          <w:lang w:eastAsia="en-AU"/>
        </w:rPr>
      </w:pPr>
      <w:r>
        <w:rPr>
          <w:lang w:eastAsia="en-AU"/>
        </w:rPr>
        <w:t>a</w:t>
      </w:r>
      <w:r w:rsidR="00720182" w:rsidRPr="00E13C3A">
        <w:rPr>
          <w:lang w:eastAsia="en-AU"/>
        </w:rPr>
        <w:t xml:space="preserve">ll </w:t>
      </w:r>
      <w:r w:rsidR="00720182">
        <w:rPr>
          <w:lang w:eastAsia="en-AU"/>
        </w:rPr>
        <w:t xml:space="preserve">SCS Division </w:t>
      </w:r>
      <w:r w:rsidR="00720182" w:rsidRPr="00E13C3A">
        <w:rPr>
          <w:lang w:eastAsia="en-AU"/>
        </w:rPr>
        <w:t>staff, including casual and contract staff, will be advised of their obligations to implement the DAIP</w:t>
      </w:r>
      <w:r w:rsidR="00720182">
        <w:rPr>
          <w:lang w:eastAsia="en-AU"/>
        </w:rPr>
        <w:t xml:space="preserve"> and demonstrate their understanding and </w:t>
      </w:r>
      <w:r w:rsidR="00720182" w:rsidRPr="00E13C3A">
        <w:rPr>
          <w:lang w:eastAsia="en-AU"/>
        </w:rPr>
        <w:t xml:space="preserve">acceptance </w:t>
      </w:r>
      <w:r w:rsidR="00720182">
        <w:rPr>
          <w:lang w:eastAsia="en-AU"/>
        </w:rPr>
        <w:t xml:space="preserve">via signing the </w:t>
      </w:r>
      <w:r w:rsidR="00720182" w:rsidRPr="00E13C3A">
        <w:rPr>
          <w:lang w:eastAsia="en-AU"/>
        </w:rPr>
        <w:t>Authority’s Code of Conduct</w:t>
      </w:r>
    </w:p>
    <w:p w14:paraId="40DEA604" w14:textId="047D60AF" w:rsidR="00720182" w:rsidRDefault="0090773F" w:rsidP="001E149B">
      <w:pPr>
        <w:pStyle w:val="ListBullet"/>
        <w:rPr>
          <w:lang w:eastAsia="en-AU"/>
        </w:rPr>
      </w:pPr>
      <w:r>
        <w:rPr>
          <w:lang w:eastAsia="en-AU"/>
        </w:rPr>
        <w:t>r</w:t>
      </w:r>
      <w:r w:rsidR="00720182" w:rsidRPr="00E13C3A">
        <w:rPr>
          <w:lang w:eastAsia="en-AU"/>
        </w:rPr>
        <w:t>elevant DAIP actions will be assigned to</w:t>
      </w:r>
      <w:r w:rsidR="00720182">
        <w:rPr>
          <w:lang w:eastAsia="en-AU"/>
        </w:rPr>
        <w:t xml:space="preserve"> specific</w:t>
      </w:r>
      <w:r w:rsidR="00720182" w:rsidRPr="00E13C3A">
        <w:rPr>
          <w:lang w:eastAsia="en-AU"/>
        </w:rPr>
        <w:t xml:space="preserve"> roles and</w:t>
      </w:r>
      <w:r w:rsidR="00C2260A">
        <w:rPr>
          <w:lang w:eastAsia="en-AU"/>
        </w:rPr>
        <w:t>/</w:t>
      </w:r>
      <w:r w:rsidR="00720182" w:rsidRPr="00E13C3A">
        <w:rPr>
          <w:lang w:eastAsia="en-AU"/>
        </w:rPr>
        <w:t>or business areas</w:t>
      </w:r>
      <w:r w:rsidR="00EC3010">
        <w:rPr>
          <w:lang w:eastAsia="en-AU"/>
        </w:rPr>
        <w:t>,</w:t>
      </w:r>
      <w:r w:rsidR="00720182" w:rsidRPr="00E13C3A">
        <w:rPr>
          <w:lang w:eastAsia="en-AU"/>
        </w:rPr>
        <w:t xml:space="preserve"> and implementation responsibilities documented in individual performance planning documents.</w:t>
      </w:r>
    </w:p>
    <w:p w14:paraId="22C020AD" w14:textId="78C41010" w:rsidR="00720182" w:rsidRDefault="0076142F" w:rsidP="00720182">
      <w:pPr>
        <w:rPr>
          <w:rFonts w:cstheme="minorHAnsi"/>
        </w:rPr>
      </w:pPr>
      <w:r>
        <w:rPr>
          <w:rFonts w:cstheme="minorHAnsi"/>
        </w:rPr>
        <w:t>A p</w:t>
      </w:r>
      <w:r w:rsidR="00720182" w:rsidRPr="00720182">
        <w:rPr>
          <w:rFonts w:cstheme="minorHAnsi"/>
        </w:rPr>
        <w:t xml:space="preserve">rogress </w:t>
      </w:r>
      <w:r w:rsidR="00720182">
        <w:rPr>
          <w:rFonts w:cstheme="minorHAnsi"/>
        </w:rPr>
        <w:t>report on the DAIP implementation will be submitted to the Department of Communities at the end of each financial year for the life of the plan.</w:t>
      </w:r>
    </w:p>
    <w:p w14:paraId="421830D2" w14:textId="10F992E4" w:rsidR="0076142F" w:rsidRDefault="0076142F" w:rsidP="00720182">
      <w:pPr>
        <w:rPr>
          <w:rFonts w:cstheme="minorHAnsi"/>
        </w:rPr>
      </w:pPr>
      <w:r>
        <w:rPr>
          <w:rFonts w:cstheme="minorHAnsi"/>
        </w:rPr>
        <w:t>The Authority will also include an update in the Authority’s Annual Report produced each financial year.</w:t>
      </w:r>
    </w:p>
    <w:p w14:paraId="06E97B5D" w14:textId="366CE7AB" w:rsidR="00417FF9" w:rsidRPr="00FF6A85" w:rsidRDefault="00417FF9" w:rsidP="006E0ACE">
      <w:pPr>
        <w:pStyle w:val="Heading1"/>
      </w:pPr>
      <w:r w:rsidRPr="00FF6A85">
        <w:t>Promotion and Communication</w:t>
      </w:r>
    </w:p>
    <w:p w14:paraId="074B74CF" w14:textId="4777B845" w:rsidR="0076142F" w:rsidRDefault="0076142F" w:rsidP="0076142F">
      <w:pPr>
        <w:rPr>
          <w:rFonts w:eastAsia="Times New Roman" w:cstheme="minorHAnsi"/>
          <w:bCs/>
          <w:lang w:eastAsia="en-AU"/>
        </w:rPr>
      </w:pPr>
      <w:r w:rsidRPr="00E13C3A">
        <w:rPr>
          <w:rFonts w:eastAsia="Times New Roman" w:cstheme="minorHAnsi"/>
          <w:bCs/>
          <w:lang w:eastAsia="en-AU"/>
        </w:rPr>
        <w:t xml:space="preserve">The Authority takes an active approach to ensure staff delivering the Authority services are aware of the </w:t>
      </w:r>
      <w:r w:rsidR="00F36886" w:rsidRPr="00E13C3A">
        <w:rPr>
          <w:rFonts w:eastAsia="Times New Roman" w:cstheme="minorHAnsi"/>
          <w:bCs/>
          <w:lang w:eastAsia="en-AU"/>
        </w:rPr>
        <w:t>DAIP</w:t>
      </w:r>
      <w:r w:rsidR="00F36886">
        <w:rPr>
          <w:rFonts w:eastAsia="Times New Roman" w:cstheme="minorHAnsi"/>
          <w:bCs/>
          <w:lang w:eastAsia="en-AU"/>
        </w:rPr>
        <w:t xml:space="preserve"> and</w:t>
      </w:r>
      <w:r w:rsidRPr="00E13C3A">
        <w:rPr>
          <w:rFonts w:eastAsia="Times New Roman" w:cstheme="minorHAnsi"/>
          <w:bCs/>
          <w:lang w:eastAsia="en-AU"/>
        </w:rPr>
        <w:t xml:space="preserve"> contribute to the success of the DAIP.</w:t>
      </w:r>
      <w:r>
        <w:rPr>
          <w:rFonts w:eastAsia="Times New Roman" w:cstheme="minorHAnsi"/>
          <w:bCs/>
          <w:lang w:eastAsia="en-AU"/>
        </w:rPr>
        <w:t xml:space="preserve"> These initiatives are detailed in </w:t>
      </w:r>
      <w:r w:rsidR="00F86AEC">
        <w:rPr>
          <w:rFonts w:eastAsia="Times New Roman" w:cstheme="minorHAnsi"/>
          <w:bCs/>
          <w:lang w:eastAsia="en-AU"/>
        </w:rPr>
        <w:t xml:space="preserve">Section 4.0 </w:t>
      </w:r>
      <w:r w:rsidR="00BD3DAC">
        <w:rPr>
          <w:rFonts w:eastAsia="Times New Roman" w:cstheme="minorHAnsi"/>
          <w:bCs/>
          <w:lang w:eastAsia="en-AU"/>
        </w:rPr>
        <w:t xml:space="preserve">with further strategies noted </w:t>
      </w:r>
      <w:r w:rsidR="00EC3010">
        <w:rPr>
          <w:rFonts w:eastAsia="Times New Roman" w:cstheme="minorHAnsi"/>
          <w:bCs/>
          <w:lang w:eastAsia="en-AU"/>
        </w:rPr>
        <w:t>in the Appendix</w:t>
      </w:r>
      <w:r w:rsidR="00BD3DAC">
        <w:rPr>
          <w:rFonts w:eastAsia="Times New Roman" w:cstheme="minorHAnsi"/>
          <w:bCs/>
          <w:lang w:eastAsia="en-AU"/>
        </w:rPr>
        <w:t>.</w:t>
      </w:r>
    </w:p>
    <w:p w14:paraId="20488C59" w14:textId="78286F64" w:rsidR="00C64AC1" w:rsidRDefault="00C64AC1" w:rsidP="00C64AC1">
      <w:pPr>
        <w:rPr>
          <w:rFonts w:eastAsia="Times New Roman" w:cstheme="minorHAnsi"/>
          <w:bCs/>
          <w:lang w:eastAsia="en-AU"/>
        </w:rPr>
      </w:pPr>
      <w:r>
        <w:rPr>
          <w:rFonts w:eastAsia="Times New Roman" w:cstheme="minorHAnsi"/>
          <w:bCs/>
          <w:lang w:eastAsia="en-AU"/>
        </w:rPr>
        <w:t xml:space="preserve">Staff involved in the delivery of the Authority’s functions are inducted in the DAIP on commencement. </w:t>
      </w:r>
      <w:r w:rsidR="00EC3010">
        <w:rPr>
          <w:rFonts w:eastAsia="Times New Roman" w:cstheme="minorHAnsi"/>
          <w:bCs/>
          <w:lang w:eastAsia="en-AU"/>
        </w:rPr>
        <w:t xml:space="preserve">Articles </w:t>
      </w:r>
      <w:r>
        <w:rPr>
          <w:rFonts w:eastAsia="Times New Roman" w:cstheme="minorHAnsi"/>
          <w:bCs/>
          <w:lang w:eastAsia="en-AU"/>
        </w:rPr>
        <w:t xml:space="preserve">to promote the DAIP </w:t>
      </w:r>
      <w:r w:rsidR="00102A52">
        <w:rPr>
          <w:rFonts w:eastAsia="Times New Roman" w:cstheme="minorHAnsi"/>
          <w:bCs/>
          <w:lang w:eastAsia="en-AU"/>
        </w:rPr>
        <w:t>are</w:t>
      </w:r>
      <w:r>
        <w:rPr>
          <w:rFonts w:eastAsia="Times New Roman" w:cstheme="minorHAnsi"/>
          <w:bCs/>
          <w:lang w:eastAsia="en-AU"/>
        </w:rPr>
        <w:t xml:space="preserve"> published on the Authority’s intranet to remind staff of their responsibilities and </w:t>
      </w:r>
      <w:r w:rsidR="00BB0AD0">
        <w:rPr>
          <w:rFonts w:eastAsia="Times New Roman" w:cstheme="minorHAnsi"/>
          <w:bCs/>
          <w:lang w:eastAsia="en-AU"/>
        </w:rPr>
        <w:t xml:space="preserve">the requirement to </w:t>
      </w:r>
      <w:r>
        <w:rPr>
          <w:rFonts w:eastAsia="Times New Roman" w:cstheme="minorHAnsi"/>
          <w:bCs/>
          <w:lang w:eastAsia="en-AU"/>
        </w:rPr>
        <w:t>apply the DAIP strategies when applicable in providing Authority services.</w:t>
      </w:r>
    </w:p>
    <w:p w14:paraId="462E5A5A" w14:textId="1D7A30C3" w:rsidR="00417FF9" w:rsidRPr="00E13C3A" w:rsidRDefault="0076142F">
      <w:pPr>
        <w:rPr>
          <w:rFonts w:eastAsia="Times New Roman" w:cstheme="minorHAnsi"/>
          <w:bCs/>
          <w:lang w:eastAsia="en-AU"/>
        </w:rPr>
      </w:pPr>
      <w:r>
        <w:rPr>
          <w:rFonts w:eastAsia="Times New Roman" w:cstheme="minorHAnsi"/>
          <w:bCs/>
          <w:lang w:eastAsia="en-AU"/>
        </w:rPr>
        <w:lastRenderedPageBreak/>
        <w:t>T</w:t>
      </w:r>
      <w:r w:rsidR="00FF6A85">
        <w:rPr>
          <w:rFonts w:eastAsia="Times New Roman" w:cstheme="minorHAnsi"/>
          <w:bCs/>
          <w:lang w:eastAsia="en-AU"/>
        </w:rPr>
        <w:t xml:space="preserve">he </w:t>
      </w:r>
      <w:r w:rsidR="00417FF9" w:rsidRPr="00E13C3A">
        <w:rPr>
          <w:rFonts w:eastAsia="Times New Roman" w:cstheme="minorHAnsi"/>
          <w:bCs/>
          <w:lang w:eastAsia="en-AU"/>
        </w:rPr>
        <w:t>DAIP</w:t>
      </w:r>
      <w:r>
        <w:rPr>
          <w:rFonts w:eastAsia="Times New Roman" w:cstheme="minorHAnsi"/>
          <w:bCs/>
          <w:lang w:eastAsia="en-AU"/>
        </w:rPr>
        <w:t xml:space="preserve"> 202</w:t>
      </w:r>
      <w:r w:rsidR="00B55C8C">
        <w:rPr>
          <w:rFonts w:eastAsia="Times New Roman" w:cstheme="minorHAnsi"/>
          <w:bCs/>
          <w:lang w:eastAsia="en-AU"/>
        </w:rPr>
        <w:t>3</w:t>
      </w:r>
      <w:r w:rsidR="0098189A">
        <w:rPr>
          <w:rFonts w:eastAsia="Times New Roman" w:cstheme="minorHAnsi"/>
          <w:bCs/>
          <w:lang w:eastAsia="en-AU"/>
        </w:rPr>
        <w:t>–</w:t>
      </w:r>
      <w:r>
        <w:rPr>
          <w:rFonts w:eastAsia="Times New Roman" w:cstheme="minorHAnsi"/>
          <w:bCs/>
          <w:lang w:eastAsia="en-AU"/>
        </w:rPr>
        <w:t xml:space="preserve">2027 is </w:t>
      </w:r>
      <w:r w:rsidR="00417FF9" w:rsidRPr="00E13C3A">
        <w:rPr>
          <w:rFonts w:eastAsia="Times New Roman" w:cstheme="minorHAnsi"/>
          <w:bCs/>
          <w:lang w:eastAsia="en-AU"/>
        </w:rPr>
        <w:t>published on the Authority website</w:t>
      </w:r>
      <w:r w:rsidR="00FF6A85">
        <w:rPr>
          <w:rFonts w:eastAsia="Times New Roman" w:cstheme="minorHAnsi"/>
          <w:bCs/>
          <w:lang w:eastAsia="en-AU"/>
        </w:rPr>
        <w:t xml:space="preserve">, with </w:t>
      </w:r>
      <w:r w:rsidR="00417FF9" w:rsidRPr="00E13C3A">
        <w:rPr>
          <w:rFonts w:eastAsia="Times New Roman" w:cstheme="minorHAnsi"/>
          <w:bCs/>
          <w:lang w:eastAsia="en-AU"/>
        </w:rPr>
        <w:t>copies made available in alternative formats on request.</w:t>
      </w:r>
    </w:p>
    <w:p w14:paraId="7B4D180B" w14:textId="6721FFE8" w:rsidR="00FF6A85" w:rsidRDefault="00FF6A85" w:rsidP="00FF6A85">
      <w:pPr>
        <w:rPr>
          <w:rFonts w:cstheme="minorHAnsi"/>
        </w:rPr>
      </w:pPr>
      <w:r w:rsidRPr="00AF73D8">
        <w:rPr>
          <w:rFonts w:cstheme="minorHAnsi"/>
        </w:rPr>
        <w:t xml:space="preserve">The DAIP </w:t>
      </w:r>
      <w:r w:rsidR="0076142F" w:rsidRPr="00AF73D8">
        <w:rPr>
          <w:rFonts w:cstheme="minorHAnsi"/>
        </w:rPr>
        <w:t xml:space="preserve">will be </w:t>
      </w:r>
      <w:r w:rsidRPr="00AF73D8">
        <w:rPr>
          <w:rFonts w:cstheme="minorHAnsi"/>
        </w:rPr>
        <w:t xml:space="preserve">promoted </w:t>
      </w:r>
      <w:r w:rsidR="0076142F" w:rsidRPr="00AF73D8">
        <w:rPr>
          <w:rFonts w:cstheme="minorHAnsi"/>
        </w:rPr>
        <w:t xml:space="preserve">to schools </w:t>
      </w:r>
      <w:r w:rsidRPr="00AF73D8">
        <w:rPr>
          <w:rFonts w:cstheme="minorHAnsi"/>
        </w:rPr>
        <w:t xml:space="preserve">through the Authority’s </w:t>
      </w:r>
      <w:r w:rsidR="00673778" w:rsidRPr="00AF73D8">
        <w:rPr>
          <w:rFonts w:cstheme="minorHAnsi"/>
        </w:rPr>
        <w:t>e</w:t>
      </w:r>
      <w:r w:rsidRPr="00AF73D8">
        <w:rPr>
          <w:rFonts w:cstheme="minorHAnsi"/>
        </w:rPr>
        <w:t>Circulars</w:t>
      </w:r>
      <w:r w:rsidR="0080341D" w:rsidRPr="00AF73D8">
        <w:rPr>
          <w:rFonts w:cstheme="minorHAnsi"/>
        </w:rPr>
        <w:t>. O</w:t>
      </w:r>
      <w:r w:rsidR="0076142F" w:rsidRPr="00AF73D8">
        <w:rPr>
          <w:rFonts w:cstheme="minorHAnsi"/>
        </w:rPr>
        <w:t xml:space="preserve">n release of </w:t>
      </w:r>
      <w:r w:rsidR="0080341D" w:rsidRPr="00AF73D8">
        <w:rPr>
          <w:rFonts w:cstheme="minorHAnsi"/>
        </w:rPr>
        <w:t xml:space="preserve">the </w:t>
      </w:r>
      <w:r w:rsidR="0076142F" w:rsidRPr="00AF73D8">
        <w:rPr>
          <w:rFonts w:cstheme="minorHAnsi"/>
        </w:rPr>
        <w:t>DAIP, alerts</w:t>
      </w:r>
      <w:r w:rsidR="0080341D" w:rsidRPr="00AF73D8">
        <w:rPr>
          <w:rFonts w:cstheme="minorHAnsi"/>
        </w:rPr>
        <w:t xml:space="preserve"> </w:t>
      </w:r>
      <w:r w:rsidR="0076142F" w:rsidRPr="00AF73D8">
        <w:rPr>
          <w:rFonts w:cstheme="minorHAnsi"/>
        </w:rPr>
        <w:t xml:space="preserve">will be published </w:t>
      </w:r>
      <w:r w:rsidR="0080341D" w:rsidRPr="00AF73D8">
        <w:rPr>
          <w:rFonts w:cstheme="minorHAnsi"/>
        </w:rPr>
        <w:t>in the news section of the Authority website and via its s</w:t>
      </w:r>
      <w:r w:rsidR="00673778" w:rsidRPr="00AF73D8">
        <w:rPr>
          <w:rFonts w:cstheme="minorHAnsi"/>
        </w:rPr>
        <w:t xml:space="preserve">ocial </w:t>
      </w:r>
      <w:r w:rsidR="0080341D" w:rsidRPr="00AF73D8">
        <w:rPr>
          <w:rFonts w:cstheme="minorHAnsi"/>
        </w:rPr>
        <w:t>m</w:t>
      </w:r>
      <w:r w:rsidR="00673778" w:rsidRPr="00AF73D8">
        <w:rPr>
          <w:rFonts w:cstheme="minorHAnsi"/>
        </w:rPr>
        <w:t>edia</w:t>
      </w:r>
      <w:r w:rsidR="0076142F" w:rsidRPr="00AF73D8">
        <w:rPr>
          <w:rFonts w:cstheme="minorHAnsi"/>
        </w:rPr>
        <w:t xml:space="preserve"> platform</w:t>
      </w:r>
      <w:r w:rsidRPr="00AF73D8">
        <w:rPr>
          <w:rFonts w:cstheme="minorHAnsi"/>
        </w:rPr>
        <w:t xml:space="preserve"> </w:t>
      </w:r>
      <w:r w:rsidR="00673778" w:rsidRPr="00AF73D8">
        <w:rPr>
          <w:rFonts w:cstheme="minorHAnsi"/>
        </w:rPr>
        <w:t>(Facebook)</w:t>
      </w:r>
      <w:r w:rsidR="0076142F" w:rsidRPr="00AF73D8">
        <w:rPr>
          <w:rFonts w:cstheme="minorHAnsi"/>
        </w:rPr>
        <w:t>.</w:t>
      </w:r>
      <w:r w:rsidRPr="00E13C3A">
        <w:rPr>
          <w:rFonts w:cstheme="minorHAnsi"/>
        </w:rPr>
        <w:t xml:space="preserve"> </w:t>
      </w:r>
    </w:p>
    <w:p w14:paraId="35844AE4" w14:textId="33F37636" w:rsidR="00673778" w:rsidRPr="00274B10" w:rsidRDefault="00E13C3A" w:rsidP="006E0ACE">
      <w:pPr>
        <w:pStyle w:val="Heading1"/>
      </w:pPr>
      <w:r w:rsidRPr="00274B10">
        <w:t>Review</w:t>
      </w:r>
      <w:r w:rsidR="00673778" w:rsidRPr="00274B10">
        <w:t xml:space="preserve"> and Reporting</w:t>
      </w:r>
    </w:p>
    <w:p w14:paraId="27D2E661" w14:textId="339E9E0C" w:rsidR="00437D55" w:rsidRDefault="00394743" w:rsidP="00437D55">
      <w:pPr>
        <w:rPr>
          <w:rFonts w:cstheme="minorHAnsi"/>
        </w:rPr>
      </w:pPr>
      <w:r w:rsidRPr="00437D55">
        <w:rPr>
          <w:rFonts w:cstheme="minorHAnsi"/>
        </w:rPr>
        <w:t xml:space="preserve">The Authority </w:t>
      </w:r>
      <w:r w:rsidR="00EC3010">
        <w:rPr>
          <w:rFonts w:cstheme="minorHAnsi"/>
        </w:rPr>
        <w:t xml:space="preserve">(as the Curriculum Council) </w:t>
      </w:r>
      <w:r w:rsidRPr="00437D55">
        <w:rPr>
          <w:rFonts w:cstheme="minorHAnsi"/>
        </w:rPr>
        <w:t xml:space="preserve">developed its </w:t>
      </w:r>
      <w:r w:rsidR="00274B10">
        <w:rPr>
          <w:rFonts w:cstheme="minorHAnsi"/>
        </w:rPr>
        <w:t>inaugural</w:t>
      </w:r>
      <w:r w:rsidRPr="00437D55">
        <w:rPr>
          <w:rFonts w:cstheme="minorHAnsi"/>
        </w:rPr>
        <w:t xml:space="preserve"> </w:t>
      </w:r>
      <w:r w:rsidR="00274B10">
        <w:rPr>
          <w:rFonts w:cstheme="minorHAnsi"/>
        </w:rPr>
        <w:t>DAIP</w:t>
      </w:r>
      <w:r w:rsidRPr="00437D55">
        <w:rPr>
          <w:rFonts w:cstheme="minorHAnsi"/>
        </w:rPr>
        <w:t xml:space="preserve"> in </w:t>
      </w:r>
      <w:r w:rsidR="00274B10">
        <w:rPr>
          <w:rFonts w:cstheme="minorHAnsi"/>
        </w:rPr>
        <w:t>2008</w:t>
      </w:r>
      <w:r w:rsidR="00945D64" w:rsidRPr="00437D55">
        <w:rPr>
          <w:rFonts w:cstheme="minorHAnsi"/>
        </w:rPr>
        <w:t xml:space="preserve"> </w:t>
      </w:r>
      <w:r w:rsidRPr="00437D55">
        <w:rPr>
          <w:rFonts w:cstheme="minorHAnsi"/>
        </w:rPr>
        <w:t>to address the barriers and opportunities for people with disability to access the Authority’s se</w:t>
      </w:r>
      <w:r w:rsidR="00274B10">
        <w:rPr>
          <w:rFonts w:cstheme="minorHAnsi"/>
        </w:rPr>
        <w:t>rvices, events and facilities. T</w:t>
      </w:r>
      <w:r w:rsidR="00437D55" w:rsidRPr="00E13C3A">
        <w:rPr>
          <w:rFonts w:cstheme="minorHAnsi"/>
        </w:rPr>
        <w:t xml:space="preserve">he </w:t>
      </w:r>
      <w:r w:rsidR="00437D55">
        <w:rPr>
          <w:rFonts w:cstheme="minorHAnsi"/>
        </w:rPr>
        <w:t xml:space="preserve">Authority </w:t>
      </w:r>
      <w:r w:rsidR="00274B10">
        <w:rPr>
          <w:rFonts w:cstheme="minorHAnsi"/>
        </w:rPr>
        <w:t>DAIP</w:t>
      </w:r>
      <w:r w:rsidR="00437D55">
        <w:rPr>
          <w:rFonts w:cstheme="minorHAnsi"/>
        </w:rPr>
        <w:t xml:space="preserve"> </w:t>
      </w:r>
      <w:r w:rsidR="00437D55" w:rsidRPr="00E13C3A">
        <w:rPr>
          <w:rFonts w:cstheme="minorHAnsi"/>
        </w:rPr>
        <w:t xml:space="preserve">is </w:t>
      </w:r>
      <w:r w:rsidR="00437D55">
        <w:rPr>
          <w:rFonts w:cstheme="minorHAnsi"/>
        </w:rPr>
        <w:t xml:space="preserve">renewed every five years. </w:t>
      </w:r>
      <w:r w:rsidR="00D87C7A">
        <w:rPr>
          <w:rFonts w:cstheme="minorHAnsi"/>
        </w:rPr>
        <w:t xml:space="preserve">The implementation of this DAIP and future DAIP development will continue to be informed by the </w:t>
      </w:r>
      <w:r w:rsidR="00D87C7A" w:rsidRPr="005001A1">
        <w:rPr>
          <w:rFonts w:cstheme="minorHAnsi"/>
          <w:i/>
        </w:rPr>
        <w:t>Disability Services Act 1993</w:t>
      </w:r>
      <w:r w:rsidR="00D87C7A">
        <w:rPr>
          <w:rFonts w:cstheme="minorHAnsi"/>
          <w:i/>
        </w:rPr>
        <w:t xml:space="preserve">, </w:t>
      </w:r>
      <w:r w:rsidR="00D87C7A">
        <w:rPr>
          <w:rFonts w:cstheme="minorHAnsi"/>
        </w:rPr>
        <w:t xml:space="preserve">the </w:t>
      </w:r>
      <w:r w:rsidR="00D87C7A" w:rsidRPr="00385156">
        <w:rPr>
          <w:rFonts w:cstheme="minorHAnsi"/>
          <w:i/>
          <w:iCs/>
        </w:rPr>
        <w:t>State Disability Strategy 2020</w:t>
      </w:r>
      <w:r w:rsidR="001926DE" w:rsidRPr="00385156">
        <w:rPr>
          <w:rFonts w:eastAsia="Times New Roman" w:cstheme="minorHAnsi"/>
          <w:bCs/>
          <w:i/>
          <w:iCs/>
          <w:lang w:eastAsia="en-AU"/>
        </w:rPr>
        <w:t>–</w:t>
      </w:r>
      <w:r w:rsidR="00D87C7A" w:rsidRPr="00385156">
        <w:rPr>
          <w:rFonts w:cstheme="minorHAnsi"/>
          <w:i/>
          <w:iCs/>
        </w:rPr>
        <w:t>2030</w:t>
      </w:r>
      <w:r w:rsidR="00D87C7A">
        <w:rPr>
          <w:rFonts w:cstheme="minorHAnsi"/>
        </w:rPr>
        <w:t xml:space="preserve"> released in December 2020, and stakeholder engagement and feedback.</w:t>
      </w:r>
    </w:p>
    <w:p w14:paraId="47AAB49C" w14:textId="21A629F1" w:rsidR="00394743" w:rsidRDefault="00394743" w:rsidP="002E58E5">
      <w:pPr>
        <w:rPr>
          <w:rFonts w:cstheme="minorHAnsi"/>
        </w:rPr>
      </w:pPr>
      <w:r>
        <w:rPr>
          <w:rFonts w:cstheme="minorHAnsi"/>
        </w:rPr>
        <w:t xml:space="preserve">The DAIP implementation progress </w:t>
      </w:r>
      <w:r w:rsidR="0094643D">
        <w:rPr>
          <w:rFonts w:cstheme="minorHAnsi"/>
        </w:rPr>
        <w:t>is</w:t>
      </w:r>
      <w:r>
        <w:rPr>
          <w:rFonts w:cstheme="minorHAnsi"/>
        </w:rPr>
        <w:t xml:space="preserve"> reviewed annually</w:t>
      </w:r>
      <w:r w:rsidR="00437D55">
        <w:rPr>
          <w:rFonts w:cstheme="minorHAnsi"/>
        </w:rPr>
        <w:t>,</w:t>
      </w:r>
      <w:r>
        <w:rPr>
          <w:rFonts w:cstheme="minorHAnsi"/>
        </w:rPr>
        <w:t xml:space="preserve"> with a </w:t>
      </w:r>
      <w:r w:rsidR="0094643D">
        <w:rPr>
          <w:rFonts w:cstheme="minorHAnsi"/>
        </w:rPr>
        <w:t xml:space="preserve">progress </w:t>
      </w:r>
      <w:r>
        <w:rPr>
          <w:rFonts w:cstheme="minorHAnsi"/>
        </w:rPr>
        <w:t>report submitted to the Department of Communities in July</w:t>
      </w:r>
      <w:r w:rsidR="0094643D">
        <w:rPr>
          <w:rFonts w:cstheme="minorHAnsi"/>
        </w:rPr>
        <w:t xml:space="preserve"> each year</w:t>
      </w:r>
      <w:r>
        <w:rPr>
          <w:rFonts w:cstheme="minorHAnsi"/>
        </w:rPr>
        <w:t xml:space="preserve">. Some of </w:t>
      </w:r>
      <w:r w:rsidR="0094643D">
        <w:rPr>
          <w:rFonts w:cstheme="minorHAnsi"/>
        </w:rPr>
        <w:t>our key</w:t>
      </w:r>
      <w:r>
        <w:rPr>
          <w:rFonts w:cstheme="minorHAnsi"/>
        </w:rPr>
        <w:t xml:space="preserve"> achievements in access and inclusion </w:t>
      </w:r>
      <w:r w:rsidR="00274B10">
        <w:rPr>
          <w:rFonts w:cstheme="minorHAnsi"/>
        </w:rPr>
        <w:t xml:space="preserve">to date </w:t>
      </w:r>
      <w:r>
        <w:rPr>
          <w:rFonts w:cstheme="minorHAnsi"/>
        </w:rPr>
        <w:t>are included here:</w:t>
      </w:r>
    </w:p>
    <w:p w14:paraId="7322CE66" w14:textId="53F741A7" w:rsidR="0032324E" w:rsidRPr="00AF73D8" w:rsidRDefault="0032324E" w:rsidP="00F86AEC">
      <w:pPr>
        <w:pStyle w:val="Quotedbulletpoint"/>
        <w:tabs>
          <w:tab w:val="clear" w:pos="284"/>
        </w:tabs>
        <w:ind w:left="357"/>
        <w:rPr>
          <w:lang w:val="en-GB"/>
        </w:rPr>
      </w:pPr>
      <w:r w:rsidRPr="00AF73D8">
        <w:rPr>
          <w:lang w:val="en-GB"/>
        </w:rPr>
        <w:t>D</w:t>
      </w:r>
      <w:r w:rsidR="003B4B6D" w:rsidRPr="00AF73D8">
        <w:rPr>
          <w:lang w:val="en-GB"/>
        </w:rPr>
        <w:t>isability adjustment guidelines</w:t>
      </w:r>
      <w:r w:rsidRPr="00AF73D8">
        <w:rPr>
          <w:lang w:val="en-GB"/>
        </w:rPr>
        <w:t xml:space="preserve">: </w:t>
      </w:r>
      <w:r w:rsidR="003B4B6D">
        <w:rPr>
          <w:lang w:val="en-GB"/>
        </w:rPr>
        <w:t>t</w:t>
      </w:r>
      <w:r w:rsidRPr="00AF73D8">
        <w:rPr>
          <w:lang w:val="en-GB"/>
        </w:rPr>
        <w:t xml:space="preserve">he Authority recognises that access to timed assessments could be significantly affected for students with a diagnosed disability, impairment or medical condition. Adjustments may need to be made for these students to access the assessment equitably. The </w:t>
      </w:r>
      <w:r w:rsidRPr="00385156">
        <w:rPr>
          <w:i/>
          <w:lang w:val="en-GB"/>
        </w:rPr>
        <w:t>Equitable Access to Assessment Policy</w:t>
      </w:r>
      <w:r w:rsidRPr="00AF73D8">
        <w:rPr>
          <w:lang w:val="en-GB"/>
        </w:rPr>
        <w:t xml:space="preserve">, published on the Authority website, provides a summary of the adjustments that may be appropriate for a particular student in </w:t>
      </w:r>
      <w:r w:rsidR="00081A29">
        <w:rPr>
          <w:lang w:val="en-GB"/>
        </w:rPr>
        <w:t xml:space="preserve">the </w:t>
      </w:r>
      <w:r w:rsidRPr="00AF73D8">
        <w:rPr>
          <w:lang w:val="en-GB"/>
        </w:rPr>
        <w:t xml:space="preserve">National Assessment Program – Literacy and Numeracy (NAPLAN), Online Literacy and Numeracy Assessment (OLNA), </w:t>
      </w:r>
      <w:r w:rsidR="00EC3010" w:rsidRPr="00AF73D8">
        <w:rPr>
          <w:lang w:val="en-GB"/>
        </w:rPr>
        <w:t>externally set tasks</w:t>
      </w:r>
      <w:r w:rsidRPr="00AF73D8">
        <w:rPr>
          <w:lang w:val="en-GB"/>
        </w:rPr>
        <w:t xml:space="preserve"> (ESTs), school-based timed assessments for courses and ATAR course examinations. Details about how to apply for adjustments for the various assessments are available to schools on the Authority website.</w:t>
      </w:r>
      <w:r w:rsidR="00AF73D8" w:rsidRPr="00AF73D8">
        <w:rPr>
          <w:lang w:val="en-GB"/>
        </w:rPr>
        <w:t xml:space="preserve"> </w:t>
      </w:r>
      <w:r w:rsidRPr="00AF73D8">
        <w:rPr>
          <w:lang w:val="en-GB"/>
        </w:rPr>
        <w:t xml:space="preserve">Adjustments may include rest breaks, extra working time, special format papers (such as braille or large print) and </w:t>
      </w:r>
      <w:r w:rsidR="00EC3010">
        <w:rPr>
          <w:lang w:val="en-GB"/>
        </w:rPr>
        <w:t xml:space="preserve">the </w:t>
      </w:r>
      <w:r w:rsidRPr="00AF73D8">
        <w:rPr>
          <w:lang w:val="en-GB"/>
        </w:rPr>
        <w:t>use of assistive technology.</w:t>
      </w:r>
    </w:p>
    <w:p w14:paraId="50BF088C" w14:textId="42B4396D" w:rsidR="00C64AC1" w:rsidRPr="00BC00A8" w:rsidRDefault="003B4B6D" w:rsidP="00F86AEC">
      <w:pPr>
        <w:pStyle w:val="Quotedbulletpoint"/>
        <w:tabs>
          <w:tab w:val="clear" w:pos="284"/>
        </w:tabs>
        <w:ind w:left="357"/>
        <w:rPr>
          <w:lang w:val="en-GB"/>
        </w:rPr>
      </w:pPr>
      <w:bookmarkStart w:id="0" w:name="_Hlk121234093"/>
      <w:r w:rsidRPr="00BC00A8">
        <w:rPr>
          <w:lang w:val="en-GB"/>
        </w:rPr>
        <w:t>Special educational needs</w:t>
      </w:r>
      <w:r w:rsidR="00D7407F">
        <w:rPr>
          <w:lang w:val="en-GB"/>
        </w:rPr>
        <w:t>:</w:t>
      </w:r>
      <w:r w:rsidR="00C64AC1" w:rsidRPr="00BC00A8">
        <w:rPr>
          <w:lang w:val="en-GB"/>
        </w:rPr>
        <w:t xml:space="preserve"> </w:t>
      </w:r>
      <w:r w:rsidR="00D7407F">
        <w:rPr>
          <w:lang w:val="en-GB"/>
        </w:rPr>
        <w:t>s</w:t>
      </w:r>
      <w:r w:rsidR="00C64AC1" w:rsidRPr="00BC00A8">
        <w:rPr>
          <w:lang w:val="en-GB"/>
        </w:rPr>
        <w:t xml:space="preserve">ome students with special educational needs require modifications or adjustments to their learning programs and assessments to access the curriculum equitably. The Authority provides a range of support for students with special educational needs. These are students who have been identified as having a disability recognised under the </w:t>
      </w:r>
      <w:r w:rsidR="00C64AC1" w:rsidRPr="00BC00A8">
        <w:rPr>
          <w:i/>
          <w:lang w:val="en-GB"/>
        </w:rPr>
        <w:t>Disability Discrimination Act 1992</w:t>
      </w:r>
      <w:r w:rsidR="00C64AC1" w:rsidRPr="00BC00A8">
        <w:rPr>
          <w:lang w:val="en-GB"/>
        </w:rPr>
        <w:t xml:space="preserve"> and who, as a consequence of their disability</w:t>
      </w:r>
      <w:r w:rsidR="002F6F5C">
        <w:rPr>
          <w:lang w:val="en-GB"/>
        </w:rPr>
        <w:t>,</w:t>
      </w:r>
      <w:r w:rsidR="00C64AC1" w:rsidRPr="00BC00A8">
        <w:rPr>
          <w:lang w:val="en-GB"/>
        </w:rPr>
        <w:t xml:space="preserve"> cannot access the ATAR, General or Foundation course content with adjustment and/or disability </w:t>
      </w:r>
      <w:r w:rsidR="00BC00A8" w:rsidRPr="00BC00A8">
        <w:rPr>
          <w:lang w:val="en-GB"/>
        </w:rPr>
        <w:t>provisions or</w:t>
      </w:r>
      <w:r w:rsidR="00C64AC1" w:rsidRPr="00BC00A8">
        <w:rPr>
          <w:lang w:val="en-GB"/>
        </w:rPr>
        <w:t xml:space="preserve"> require modified and/or independent education plans. If enrolled in ATAR, General or Foundation courses, the achievement of these students should be reported against the achievement standard of the course. </w:t>
      </w:r>
      <w:r w:rsidR="00EC3010">
        <w:rPr>
          <w:lang w:val="en-GB"/>
        </w:rPr>
        <w:t xml:space="preserve">In Years 11 and 12, </w:t>
      </w:r>
      <w:r w:rsidR="00C64AC1" w:rsidRPr="00BC00A8">
        <w:rPr>
          <w:lang w:val="en-GB"/>
        </w:rPr>
        <w:t>Preliminary courses are designed to accommodate the broad range of abilities of students with special educational needs. They allow for adapted approaches to teaching and learning. This supports students to access learning they need to develop essential skills.</w:t>
      </w:r>
    </w:p>
    <w:bookmarkEnd w:id="0"/>
    <w:p w14:paraId="74E0C835" w14:textId="49D2AC59" w:rsidR="00C64AC1" w:rsidRPr="003A5BD7" w:rsidRDefault="00697F3A" w:rsidP="00F86AEC">
      <w:pPr>
        <w:pStyle w:val="Quotedbulletpoint"/>
        <w:tabs>
          <w:tab w:val="clear" w:pos="284"/>
        </w:tabs>
        <w:ind w:left="357"/>
        <w:rPr>
          <w:lang w:val="en-GB"/>
        </w:rPr>
      </w:pPr>
      <w:r w:rsidRPr="003A5BD7">
        <w:rPr>
          <w:lang w:val="en-GB"/>
        </w:rPr>
        <w:t>Vocational education and training</w:t>
      </w:r>
      <w:r w:rsidR="00C64AC1" w:rsidRPr="003A5BD7">
        <w:rPr>
          <w:lang w:val="en-GB"/>
        </w:rPr>
        <w:t xml:space="preserve"> (VET)</w:t>
      </w:r>
      <w:r w:rsidR="00AF73D8">
        <w:rPr>
          <w:lang w:val="en-GB"/>
        </w:rPr>
        <w:t>:</w:t>
      </w:r>
      <w:r w:rsidR="00C64AC1" w:rsidRPr="003A5BD7">
        <w:rPr>
          <w:lang w:val="en-GB"/>
        </w:rPr>
        <w:t xml:space="preserve"> </w:t>
      </w:r>
      <w:r w:rsidR="00D7407F">
        <w:rPr>
          <w:lang w:val="en-GB"/>
        </w:rPr>
        <w:t>t</w:t>
      </w:r>
      <w:r w:rsidR="00C64AC1" w:rsidRPr="003A5BD7">
        <w:rPr>
          <w:lang w:val="en-GB"/>
        </w:rPr>
        <w:t>he Authority continue</w:t>
      </w:r>
      <w:r w:rsidR="00D7407F">
        <w:rPr>
          <w:lang w:val="en-GB"/>
        </w:rPr>
        <w:t>s</w:t>
      </w:r>
      <w:r w:rsidR="00C64AC1" w:rsidRPr="003A5BD7">
        <w:rPr>
          <w:lang w:val="en-GB"/>
        </w:rPr>
        <w:t xml:space="preserve"> to make provisions that will assist candidates who have a permanent or temporary disability to demonstrate their knowledge, understanding and skills in the VET Awards process. Adjustments were made during VET Awards interview</w:t>
      </w:r>
      <w:r w:rsidR="00D7407F">
        <w:rPr>
          <w:lang w:val="en-GB"/>
        </w:rPr>
        <w:t>s</w:t>
      </w:r>
      <w:r w:rsidR="00C64AC1" w:rsidRPr="003A5BD7">
        <w:rPr>
          <w:lang w:val="en-GB"/>
        </w:rPr>
        <w:t xml:space="preserve"> to provide additional time for students who required an </w:t>
      </w:r>
      <w:r w:rsidR="00C64AC1" w:rsidRPr="003A5BD7">
        <w:rPr>
          <w:lang w:val="en-GB"/>
        </w:rPr>
        <w:lastRenderedPageBreak/>
        <w:t>oral/Auslan interpreter. Schools can seek permission from the Authority to have achievements in VET units of competency (achieved through VET credit transfer/ VET qualifications</w:t>
      </w:r>
      <w:r w:rsidR="004263AC">
        <w:rPr>
          <w:lang w:val="en-GB"/>
        </w:rPr>
        <w:t>)</w:t>
      </w:r>
      <w:r w:rsidR="00C64AC1" w:rsidRPr="003A5BD7">
        <w:rPr>
          <w:lang w:val="en-GB"/>
        </w:rPr>
        <w:t xml:space="preserve"> contribute towards the Western Australian Certificate of Education (WACE) for Year 8 or Year 9 students who are accessing VET as part of an individual education plan (IEP). This is to support students who have special learning needs. </w:t>
      </w:r>
    </w:p>
    <w:p w14:paraId="45100079" w14:textId="77777777" w:rsidR="00EC3010" w:rsidRDefault="00EC3010" w:rsidP="00F86AEC">
      <w:pPr>
        <w:pStyle w:val="Quotedbulletpoint"/>
        <w:tabs>
          <w:tab w:val="clear" w:pos="284"/>
        </w:tabs>
        <w:spacing w:after="0"/>
        <w:ind w:left="357"/>
        <w:rPr>
          <w:lang w:val="en-GB"/>
        </w:rPr>
      </w:pPr>
      <w:r>
        <w:rPr>
          <w:lang w:val="en-GB"/>
        </w:rPr>
        <w:t>Authority</w:t>
      </w:r>
      <w:r w:rsidR="00697F3A" w:rsidRPr="00186478">
        <w:rPr>
          <w:lang w:val="en-GB"/>
        </w:rPr>
        <w:t xml:space="preserve"> policy and disability access inclusion planning</w:t>
      </w:r>
      <w:r w:rsidR="00AF73D8">
        <w:rPr>
          <w:lang w:val="en-GB"/>
        </w:rPr>
        <w:t>:</w:t>
      </w:r>
      <w:r w:rsidR="00186478" w:rsidRPr="00186478">
        <w:rPr>
          <w:lang w:val="en-GB"/>
        </w:rPr>
        <w:t xml:space="preserve"> </w:t>
      </w:r>
      <w:r w:rsidR="00D7407F">
        <w:rPr>
          <w:lang w:val="en-GB"/>
        </w:rPr>
        <w:t>t</w:t>
      </w:r>
      <w:r w:rsidR="00186478" w:rsidRPr="00186478">
        <w:rPr>
          <w:lang w:val="en-GB"/>
        </w:rPr>
        <w:t xml:space="preserve">he Authority advocates inclusion in curriculum. Schools and teachers are encouraged to adopt and apply the three principles: </w:t>
      </w:r>
    </w:p>
    <w:p w14:paraId="1D9E16D3" w14:textId="1E932E82" w:rsidR="00EC3010" w:rsidRDefault="00186478" w:rsidP="00F86AEC">
      <w:pPr>
        <w:pStyle w:val="Quotedbulletpoint2"/>
        <w:tabs>
          <w:tab w:val="clear" w:pos="284"/>
        </w:tabs>
        <w:ind w:left="720"/>
      </w:pPr>
      <w:r w:rsidRPr="00186478">
        <w:t>eliminate, as far as possible, discrimination against persons on the ground of disability in the area of education and training</w:t>
      </w:r>
    </w:p>
    <w:p w14:paraId="6FEB7133" w14:textId="0F22B5E9" w:rsidR="00EC3010" w:rsidRDefault="00186478" w:rsidP="00F86AEC">
      <w:pPr>
        <w:pStyle w:val="Quotedbulletpoint2"/>
        <w:tabs>
          <w:tab w:val="clear" w:pos="284"/>
        </w:tabs>
        <w:ind w:left="720"/>
      </w:pPr>
      <w:r w:rsidRPr="00186478">
        <w:t>ensure, as far as practicable, that persons with disabilities have the same rights to equality before the law in the area of education and training as the rest of the community</w:t>
      </w:r>
    </w:p>
    <w:p w14:paraId="02FB881A" w14:textId="77777777" w:rsidR="00EC3010" w:rsidRDefault="00186478" w:rsidP="00F86AEC">
      <w:pPr>
        <w:pStyle w:val="Quotedbulletpoint2"/>
        <w:tabs>
          <w:tab w:val="clear" w:pos="284"/>
        </w:tabs>
        <w:ind w:left="720"/>
      </w:pPr>
      <w:r w:rsidRPr="00186478">
        <w:t xml:space="preserve">promote recognition and acceptance within the community of the principle that persons with disabilities have the same fundamental rights as the rest of the community. </w:t>
      </w:r>
    </w:p>
    <w:p w14:paraId="52ECBC45" w14:textId="3662AFB5" w:rsidR="008F59C1" w:rsidRDefault="00186478" w:rsidP="00F86AEC">
      <w:pPr>
        <w:pStyle w:val="Quotedbulletpoint"/>
        <w:tabs>
          <w:tab w:val="clear" w:pos="284"/>
        </w:tabs>
        <w:ind w:left="357"/>
      </w:pPr>
      <w:r w:rsidRPr="00186478">
        <w:t xml:space="preserve">The principles focus on the provision of a school and class environment that is intellectually, socially and physically supportive of learning. The principles assist whole-school planning and individual classroom practice. The </w:t>
      </w:r>
      <w:r w:rsidRPr="003E70DC">
        <w:rPr>
          <w:i/>
          <w:iCs w:val="0"/>
        </w:rPr>
        <w:t xml:space="preserve">WACE Manual </w:t>
      </w:r>
      <w:r w:rsidRPr="00186478">
        <w:t>provides principles and common practices to address special needs in schools. The Principles of Assessment are mandated for all learning in schools from Pre-primary to Year 12</w:t>
      </w:r>
      <w:r w:rsidR="00A63F44">
        <w:t>,</w:t>
      </w:r>
      <w:r w:rsidRPr="00186478">
        <w:t xml:space="preserve"> with fairness stipulated in the design of all assessments</w:t>
      </w:r>
      <w:r w:rsidR="001B516C">
        <w:t>;</w:t>
      </w:r>
      <w:r w:rsidRPr="00186478">
        <w:t xml:space="preserve"> </w:t>
      </w:r>
      <w:r w:rsidR="001B516C">
        <w:t>a</w:t>
      </w:r>
      <w:r w:rsidRPr="00186478">
        <w:t xml:space="preserve">ssessment must take into account the diverse needs of students and not discriminate on grounds that are irrelevant to learning. More specifically, assessment must be equitable with regard to gender, disability, background language and socio-economic status. </w:t>
      </w:r>
    </w:p>
    <w:p w14:paraId="05B982F9" w14:textId="0A734617" w:rsidR="00186478" w:rsidRPr="00186478" w:rsidRDefault="00186478" w:rsidP="00F86AEC">
      <w:pPr>
        <w:pStyle w:val="Quotedbulletpoint"/>
        <w:tabs>
          <w:tab w:val="clear" w:pos="284"/>
        </w:tabs>
        <w:ind w:left="357"/>
        <w:rPr>
          <w:lang w:val="en-GB"/>
        </w:rPr>
      </w:pPr>
      <w:r w:rsidRPr="00186478">
        <w:rPr>
          <w:lang w:val="en-GB"/>
        </w:rPr>
        <w:t xml:space="preserve">The Authority has developed Preliminary courses </w:t>
      </w:r>
      <w:r w:rsidR="00862473">
        <w:rPr>
          <w:lang w:val="en-GB"/>
        </w:rPr>
        <w:t xml:space="preserve">for teaching and learning in senior school </w:t>
      </w:r>
      <w:r w:rsidRPr="00186478">
        <w:rPr>
          <w:lang w:val="en-GB"/>
        </w:rPr>
        <w:t xml:space="preserve">specifically for students with special needs or a recognised disability. The </w:t>
      </w:r>
      <w:r w:rsidRPr="00385156">
        <w:rPr>
          <w:i/>
          <w:lang w:val="en-GB"/>
        </w:rPr>
        <w:t>Pre-primary to Year 10: Teaching, Assess</w:t>
      </w:r>
      <w:r w:rsidR="002E3A78" w:rsidRPr="00385156">
        <w:rPr>
          <w:i/>
          <w:lang w:val="en-GB"/>
        </w:rPr>
        <w:t>ing</w:t>
      </w:r>
      <w:r w:rsidRPr="00385156">
        <w:rPr>
          <w:i/>
          <w:lang w:val="en-GB"/>
        </w:rPr>
        <w:t xml:space="preserve"> and Report</w:t>
      </w:r>
      <w:r w:rsidR="002E3A78" w:rsidRPr="00385156">
        <w:rPr>
          <w:i/>
          <w:lang w:val="en-GB"/>
        </w:rPr>
        <w:t>ing Policy</w:t>
      </w:r>
      <w:r w:rsidR="002E3A78">
        <w:rPr>
          <w:lang w:val="en-GB"/>
        </w:rPr>
        <w:t xml:space="preserve"> encourages</w:t>
      </w:r>
      <w:r w:rsidRPr="00186478">
        <w:rPr>
          <w:lang w:val="en-GB"/>
        </w:rPr>
        <w:t xml:space="preserve"> schools to develop modified curriculum (for example, gifted and talented students, students with disability and additional learning needs, and students for whom English is an additional language/dialect), negotiate any variation to the Western Australian curriculum with the student and </w:t>
      </w:r>
      <w:r w:rsidR="004073E0">
        <w:rPr>
          <w:lang w:val="en-GB"/>
        </w:rPr>
        <w:t>their</w:t>
      </w:r>
      <w:r w:rsidRPr="00186478">
        <w:rPr>
          <w:lang w:val="en-GB"/>
        </w:rPr>
        <w:t xml:space="preserve"> parents/carers, and document the decisions made (for example, a documented individual education plan and documented learning plan).</w:t>
      </w:r>
    </w:p>
    <w:p w14:paraId="7BA9C9C4" w14:textId="3B408628" w:rsidR="00241110" w:rsidRPr="003E4115" w:rsidRDefault="00241110" w:rsidP="00F86AEC">
      <w:pPr>
        <w:pStyle w:val="Quotedbulletpoint"/>
        <w:tabs>
          <w:tab w:val="clear" w:pos="284"/>
        </w:tabs>
        <w:ind w:left="357"/>
        <w:rPr>
          <w:rFonts w:eastAsia="Times New Roman"/>
          <w:lang w:val="en-GB"/>
        </w:rPr>
      </w:pPr>
      <w:r w:rsidRPr="003E4115">
        <w:rPr>
          <w:rFonts w:eastAsia="Times New Roman"/>
          <w:lang w:val="en-GB"/>
        </w:rPr>
        <w:t>ABLE</w:t>
      </w:r>
      <w:r w:rsidRPr="003E4115">
        <w:rPr>
          <w:rFonts w:eastAsia="Times New Roman"/>
          <w:i/>
          <w:lang w:val="en-GB"/>
        </w:rPr>
        <w:t xml:space="preserve">WA </w:t>
      </w:r>
      <w:r w:rsidRPr="003E4115">
        <w:rPr>
          <w:rFonts w:eastAsia="Times New Roman"/>
          <w:lang w:val="en-GB"/>
        </w:rPr>
        <w:t xml:space="preserve">– </w:t>
      </w:r>
      <w:r w:rsidR="00697F3A" w:rsidRPr="003E4115">
        <w:rPr>
          <w:rFonts w:eastAsia="Times New Roman"/>
          <w:lang w:val="en-GB"/>
        </w:rPr>
        <w:t>abilities</w:t>
      </w:r>
      <w:r w:rsidR="003538ED">
        <w:rPr>
          <w:rFonts w:eastAsia="Times New Roman"/>
          <w:lang w:val="en-GB"/>
        </w:rPr>
        <w:t>-</w:t>
      </w:r>
      <w:r w:rsidR="00697F3A" w:rsidRPr="003E4115">
        <w:rPr>
          <w:rFonts w:eastAsia="Times New Roman"/>
          <w:lang w:val="en-GB"/>
        </w:rPr>
        <w:t xml:space="preserve">based learning education, </w:t>
      </w:r>
      <w:r w:rsidR="00697F3A">
        <w:rPr>
          <w:rFonts w:eastAsia="Times New Roman"/>
          <w:lang w:val="en-GB"/>
        </w:rPr>
        <w:t>W</w:t>
      </w:r>
      <w:r w:rsidR="00697F3A" w:rsidRPr="003E4115">
        <w:rPr>
          <w:rFonts w:eastAsia="Times New Roman"/>
          <w:lang w:val="en-GB"/>
        </w:rPr>
        <w:t xml:space="preserve">estern </w:t>
      </w:r>
      <w:r w:rsidR="00697F3A">
        <w:rPr>
          <w:rFonts w:eastAsia="Times New Roman"/>
          <w:lang w:val="en-GB"/>
        </w:rPr>
        <w:t>A</w:t>
      </w:r>
      <w:r w:rsidR="00697F3A" w:rsidRPr="003E4115">
        <w:rPr>
          <w:rFonts w:eastAsia="Times New Roman"/>
          <w:lang w:val="en-GB"/>
        </w:rPr>
        <w:t>ustralia</w:t>
      </w:r>
      <w:r w:rsidR="003E4115" w:rsidRPr="003E4115">
        <w:rPr>
          <w:rFonts w:eastAsia="Times New Roman"/>
          <w:lang w:val="en-GB"/>
        </w:rPr>
        <w:t>:</w:t>
      </w:r>
      <w:r w:rsidRPr="003E4115">
        <w:rPr>
          <w:rFonts w:eastAsia="Times New Roman"/>
          <w:lang w:val="en-GB"/>
        </w:rPr>
        <w:t xml:space="preserve"> </w:t>
      </w:r>
      <w:r w:rsidR="00EC7D33">
        <w:rPr>
          <w:rFonts w:eastAsia="Times New Roman"/>
          <w:lang w:val="en-GB"/>
        </w:rPr>
        <w:t>t</w:t>
      </w:r>
      <w:r w:rsidRPr="003E4115">
        <w:rPr>
          <w:rFonts w:eastAsia="Times New Roman"/>
          <w:lang w:val="en-GB"/>
        </w:rPr>
        <w:t xml:space="preserve">he </w:t>
      </w:r>
      <w:r w:rsidRPr="003E4115">
        <w:rPr>
          <w:shd w:val="clear" w:color="auto" w:fill="FEFEFE"/>
        </w:rPr>
        <w:t xml:space="preserve">Authority provides a curriculum that is inclusive of students' individual strengths and needs in order for every child in Western Australian schools to achieve their full potential. </w:t>
      </w:r>
      <w:r w:rsidRPr="003E4115">
        <w:rPr>
          <w:rFonts w:eastAsia="Times New Roman"/>
          <w:lang w:val="en-GB"/>
        </w:rPr>
        <w:t>The ABLE</w:t>
      </w:r>
      <w:r w:rsidRPr="003E4115">
        <w:rPr>
          <w:rFonts w:eastAsia="Times New Roman"/>
          <w:i/>
          <w:lang w:val="en-GB"/>
        </w:rPr>
        <w:t xml:space="preserve">WA </w:t>
      </w:r>
      <w:r w:rsidRPr="003E4115">
        <w:rPr>
          <w:rFonts w:eastAsia="Times New Roman"/>
          <w:lang w:val="en-GB"/>
        </w:rPr>
        <w:t>resources</w:t>
      </w:r>
      <w:r w:rsidRPr="003E4115">
        <w:rPr>
          <w:rFonts w:eastAsia="Times New Roman"/>
          <w:i/>
          <w:lang w:val="en-GB"/>
        </w:rPr>
        <w:t xml:space="preserve"> </w:t>
      </w:r>
      <w:r w:rsidRPr="003E4115">
        <w:rPr>
          <w:rFonts w:eastAsia="Times New Roman"/>
          <w:lang w:val="en-GB"/>
        </w:rPr>
        <w:t>include curriculum materials and an assessment tool (ABLES) that supports teachers to plan for the teaching and learning of students with disability and additional learning needs who are unable to access the P</w:t>
      </w:r>
      <w:r w:rsidR="00B8327C">
        <w:rPr>
          <w:rFonts w:eastAsia="Times New Roman"/>
          <w:lang w:val="en-GB"/>
        </w:rPr>
        <w:t>–</w:t>
      </w:r>
      <w:r w:rsidRPr="003E4115">
        <w:rPr>
          <w:rFonts w:eastAsia="Times New Roman"/>
          <w:lang w:val="en-GB"/>
        </w:rPr>
        <w:t xml:space="preserve">10 curriculum. </w:t>
      </w:r>
      <w:r w:rsidRPr="003E4115">
        <w:rPr>
          <w:shd w:val="clear" w:color="auto" w:fill="FEFEFE"/>
        </w:rPr>
        <w:t>The ABLE</w:t>
      </w:r>
      <w:r w:rsidRPr="003E4115">
        <w:rPr>
          <w:rStyle w:val="Emphasis"/>
          <w:rFonts w:cstheme="minorHAnsi"/>
          <w:sz w:val="20"/>
          <w:shd w:val="clear" w:color="auto" w:fill="FEFEFE"/>
        </w:rPr>
        <w:t>WA</w:t>
      </w:r>
      <w:r w:rsidRPr="003E4115">
        <w:rPr>
          <w:shd w:val="clear" w:color="auto" w:fill="FEFEFE"/>
        </w:rPr>
        <w:t> curriculum for all learning areas, other than Languages, is integrated into the </w:t>
      </w:r>
      <w:r w:rsidRPr="003E70DC">
        <w:rPr>
          <w:i/>
          <w:iCs w:val="0"/>
        </w:rPr>
        <w:t>Western Australian Curriculum and Assessment Outline </w:t>
      </w:r>
      <w:r w:rsidRPr="003E4115">
        <w:rPr>
          <w:shd w:val="clear" w:color="auto" w:fill="FEFEFE"/>
        </w:rPr>
        <w:t xml:space="preserve">as Stages A to D and includes Scope </w:t>
      </w:r>
      <w:r w:rsidR="003E70DC">
        <w:rPr>
          <w:shd w:val="clear" w:color="auto" w:fill="FEFEFE"/>
        </w:rPr>
        <w:t>and</w:t>
      </w:r>
      <w:r w:rsidRPr="003E4115">
        <w:rPr>
          <w:shd w:val="clear" w:color="auto" w:fill="FEFEFE"/>
        </w:rPr>
        <w:t xml:space="preserve"> Sequence documentation. </w:t>
      </w:r>
    </w:p>
    <w:p w14:paraId="3BAE6E12" w14:textId="5DDD303A" w:rsidR="00241110" w:rsidRPr="00047DB1" w:rsidRDefault="00241110" w:rsidP="00F86AEC">
      <w:pPr>
        <w:pStyle w:val="Quotedbulletpoint"/>
        <w:tabs>
          <w:tab w:val="clear" w:pos="284"/>
        </w:tabs>
        <w:spacing w:after="0"/>
        <w:ind w:left="357"/>
        <w:rPr>
          <w:rFonts w:eastAsia="Times New Roman"/>
          <w:lang w:val="en-GB"/>
        </w:rPr>
      </w:pPr>
      <w:r w:rsidRPr="00047DB1">
        <w:rPr>
          <w:rFonts w:eastAsia="Times New Roman"/>
          <w:lang w:val="en-GB"/>
        </w:rPr>
        <w:t xml:space="preserve">The Kindergarten to Year 10 – Resources section of the Authority website </w:t>
      </w:r>
      <w:r w:rsidRPr="003E70DC">
        <w:t>(</w:t>
      </w:r>
      <w:hyperlink r:id="rId20" w:history="1">
        <w:r w:rsidRPr="003E70DC">
          <w:rPr>
            <w:rStyle w:val="Hyperlink"/>
          </w:rPr>
          <w:t>https://k10outline.scsa.wa.edu.au/home/resources/ablewa</w:t>
        </w:r>
      </w:hyperlink>
      <w:r w:rsidRPr="00047DB1">
        <w:rPr>
          <w:rFonts w:eastAsia="Times New Roman"/>
          <w:lang w:val="en-GB"/>
        </w:rPr>
        <w:t xml:space="preserve">) includes the following resources: </w:t>
      </w:r>
    </w:p>
    <w:p w14:paraId="6644C9AA" w14:textId="364F3E06" w:rsidR="003E4115" w:rsidRPr="00C4048A" w:rsidRDefault="00241110" w:rsidP="00F86AEC">
      <w:pPr>
        <w:pStyle w:val="Quotedbulletpoint2"/>
        <w:tabs>
          <w:tab w:val="clear" w:pos="284"/>
        </w:tabs>
        <w:ind w:left="720"/>
      </w:pPr>
      <w:r w:rsidRPr="00C4048A">
        <w:t>The ABLES Assessment Tool</w:t>
      </w:r>
      <w:r w:rsidR="000F02F6" w:rsidRPr="00C4048A">
        <w:t>,</w:t>
      </w:r>
      <w:r w:rsidRPr="00C4048A">
        <w:t xml:space="preserve"> which assists Western Australian teachers to create high-quality targeted classroom programs by applying the tool to identify their students' readiness to learn across the seven learning domains (Critical and Creative Thinking, </w:t>
      </w:r>
      <w:r w:rsidRPr="00C4048A">
        <w:lastRenderedPageBreak/>
        <w:t>Digital Literacy, English – Reading and Writing, English – Speaking and Listening, Mathematics, Movement and Physical Activity and Personal and Social Capability).</w:t>
      </w:r>
      <w:r w:rsidR="003E4115" w:rsidRPr="00C4048A">
        <w:t xml:space="preserve"> </w:t>
      </w:r>
      <w:r w:rsidRPr="00C4048A">
        <w:t>The Online Professional Learning Course comprising five modules, each focussing on a specific element of the ABLEWA suite of resources, assists teachers to effectively implement the ABLES Assessment Tool and ABLEWA curriculum.</w:t>
      </w:r>
      <w:r w:rsidR="003E4115" w:rsidRPr="00C4048A">
        <w:t xml:space="preserve"> </w:t>
      </w:r>
    </w:p>
    <w:p w14:paraId="0A32DBCB" w14:textId="190B3DA1" w:rsidR="00241110" w:rsidRPr="00C4048A" w:rsidRDefault="00241110" w:rsidP="00F86AEC">
      <w:pPr>
        <w:pStyle w:val="Quotedbulletpoint2"/>
        <w:tabs>
          <w:tab w:val="clear" w:pos="284"/>
        </w:tabs>
        <w:ind w:left="720"/>
      </w:pPr>
      <w:r w:rsidRPr="00C4048A">
        <w:t>The ABLEWA Content Descriptions, Elaborations and Achievement Standards for all seven learning domains plus the individual contexts for Technologies and The Arts support teachers in their planning.</w:t>
      </w:r>
    </w:p>
    <w:p w14:paraId="5C26A647" w14:textId="22D56AFD" w:rsidR="00241110" w:rsidRDefault="00241110" w:rsidP="00F86AEC">
      <w:pPr>
        <w:pStyle w:val="Quotedbulletpoint"/>
        <w:tabs>
          <w:tab w:val="clear" w:pos="284"/>
        </w:tabs>
        <w:ind w:left="357"/>
        <w:rPr>
          <w:lang w:val="en-GB"/>
        </w:rPr>
      </w:pPr>
      <w:r w:rsidRPr="00047DB1">
        <w:rPr>
          <w:lang w:val="en-GB"/>
        </w:rPr>
        <w:t>The Western Australian P</w:t>
      </w:r>
      <w:r w:rsidR="00277D38">
        <w:rPr>
          <w:lang w:val="en-GB"/>
        </w:rPr>
        <w:t>–</w:t>
      </w:r>
      <w:r w:rsidRPr="00047DB1">
        <w:rPr>
          <w:lang w:val="en-GB"/>
        </w:rPr>
        <w:t>10 curriculum</w:t>
      </w:r>
      <w:r w:rsidR="00E7476E">
        <w:rPr>
          <w:lang w:val="en-GB"/>
        </w:rPr>
        <w:t>,</w:t>
      </w:r>
      <w:r w:rsidRPr="00047DB1">
        <w:rPr>
          <w:lang w:val="en-GB"/>
        </w:rPr>
        <w:t xml:space="preserve"> together with the ABLE</w:t>
      </w:r>
      <w:r w:rsidRPr="00047DB1">
        <w:rPr>
          <w:i/>
          <w:lang w:val="en-GB"/>
        </w:rPr>
        <w:t>WA</w:t>
      </w:r>
      <w:r w:rsidRPr="00047DB1">
        <w:rPr>
          <w:lang w:val="en-GB"/>
        </w:rPr>
        <w:t xml:space="preserve"> Stages A to D curriculum and associated resources</w:t>
      </w:r>
      <w:r w:rsidR="00E7476E">
        <w:rPr>
          <w:lang w:val="en-GB"/>
        </w:rPr>
        <w:t>,</w:t>
      </w:r>
      <w:r w:rsidRPr="00047DB1">
        <w:rPr>
          <w:lang w:val="en-GB"/>
        </w:rPr>
        <w:t xml:space="preserve"> may be used by teachers in designing teaching and learning programs for students with disability and additional needs. </w:t>
      </w:r>
    </w:p>
    <w:p w14:paraId="6EAD748F" w14:textId="18C184CD" w:rsidR="003E4115" w:rsidRDefault="003E4115" w:rsidP="00785947">
      <w:pPr>
        <w:pStyle w:val="Quotedbulletpoint"/>
        <w:numPr>
          <w:ilvl w:val="0"/>
          <w:numId w:val="0"/>
        </w:numPr>
        <w:tabs>
          <w:tab w:val="clear" w:pos="284"/>
        </w:tabs>
        <w:ind w:left="357"/>
        <w:rPr>
          <w:lang w:val="en-GB"/>
        </w:rPr>
      </w:pPr>
      <w:r w:rsidRPr="003E4115">
        <w:rPr>
          <w:lang w:val="en-GB"/>
        </w:rPr>
        <w:t xml:space="preserve">Note: </w:t>
      </w:r>
      <w:r w:rsidR="003E70DC" w:rsidRPr="003E4115">
        <w:rPr>
          <w:lang w:val="en-GB"/>
        </w:rPr>
        <w:t xml:space="preserve">the </w:t>
      </w:r>
      <w:r w:rsidRPr="003E4115">
        <w:rPr>
          <w:lang w:val="en-GB"/>
        </w:rPr>
        <w:t>ABLES materials were developed by the Victorian Department of Education and Training and the Victorian Curriculum and Assessment Authority and used under Creative Commons Attribution - NonCommercial - ShareAlike 3.0 Australia licence.</w:t>
      </w:r>
    </w:p>
    <w:p w14:paraId="27B48E91" w14:textId="16EFEEEA" w:rsidR="003E4115" w:rsidRPr="00BC00A8" w:rsidRDefault="00697F3A" w:rsidP="00F86AEC">
      <w:pPr>
        <w:pStyle w:val="Quotedbulletpoint"/>
        <w:tabs>
          <w:tab w:val="clear" w:pos="284"/>
        </w:tabs>
        <w:ind w:left="357"/>
        <w:rPr>
          <w:rFonts w:eastAsia="Arial" w:cstheme="minorHAnsi"/>
          <w:szCs w:val="24"/>
          <w:lang w:val="en-GB"/>
        </w:rPr>
      </w:pPr>
      <w:r w:rsidRPr="00BC00A8">
        <w:rPr>
          <w:rFonts w:eastAsia="Arial" w:cstheme="minorHAnsi"/>
          <w:szCs w:val="24"/>
          <w:lang w:val="en-GB"/>
        </w:rPr>
        <w:t>Website inclusion</w:t>
      </w:r>
      <w:r w:rsidR="003E4115" w:rsidRPr="00BC00A8">
        <w:rPr>
          <w:rFonts w:eastAsia="Arial" w:cstheme="minorHAnsi"/>
          <w:szCs w:val="24"/>
          <w:lang w:val="en-GB"/>
        </w:rPr>
        <w:t xml:space="preserve">: </w:t>
      </w:r>
      <w:r w:rsidR="003E70DC" w:rsidRPr="00BC00A8">
        <w:rPr>
          <w:rFonts w:eastAsia="Arial" w:cstheme="minorHAnsi"/>
          <w:szCs w:val="24"/>
          <w:lang w:val="en-GB"/>
        </w:rPr>
        <w:t xml:space="preserve">all </w:t>
      </w:r>
      <w:r w:rsidR="003E4115" w:rsidRPr="00BC00A8">
        <w:rPr>
          <w:rFonts w:eastAsia="Arial" w:cstheme="minorHAnsi"/>
          <w:szCs w:val="24"/>
          <w:lang w:val="en-GB"/>
        </w:rPr>
        <w:t xml:space="preserve">Western Australian government websites are required to meet the </w:t>
      </w:r>
      <w:r w:rsidR="003E4115" w:rsidRPr="00385156">
        <w:rPr>
          <w:rFonts w:eastAsia="Arial" w:cstheme="minorHAnsi"/>
          <w:i/>
          <w:szCs w:val="24"/>
          <w:lang w:val="en-GB"/>
        </w:rPr>
        <w:t>Equal Opportunity Act 1984</w:t>
      </w:r>
      <w:r w:rsidR="003E4115" w:rsidRPr="00BC00A8">
        <w:rPr>
          <w:rFonts w:eastAsia="Arial" w:cstheme="minorHAnsi"/>
          <w:szCs w:val="24"/>
          <w:lang w:val="en-GB"/>
        </w:rPr>
        <w:t xml:space="preserve"> and comply with the Western Australian Government’s Accessibility and Inclusivity Standard. This requires the Authority sites to meet the </w:t>
      </w:r>
      <w:r w:rsidR="003E4115" w:rsidRPr="003E70DC">
        <w:rPr>
          <w:rFonts w:eastAsia="Arial" w:cstheme="minorHAnsi"/>
          <w:i/>
          <w:iCs w:val="0"/>
          <w:szCs w:val="24"/>
          <w:lang w:val="en-GB"/>
        </w:rPr>
        <w:t>World Wide Web Consortium’s Web Content Accessibility Guidelines</w:t>
      </w:r>
      <w:r w:rsidR="003E4115" w:rsidRPr="00BC00A8">
        <w:rPr>
          <w:rFonts w:eastAsia="Arial" w:cstheme="minorHAnsi"/>
          <w:szCs w:val="24"/>
          <w:lang w:val="en-GB"/>
        </w:rPr>
        <w:t xml:space="preserve"> version 2.0 (WCAG 2.0) at level AA standard. The Authority website has a responsive design to ensure it is accessible to users across various devices and aims to include text alternatives for images. In line with the </w:t>
      </w:r>
      <w:r w:rsidR="003E4115" w:rsidRPr="00385156">
        <w:rPr>
          <w:rFonts w:eastAsia="Arial" w:cstheme="minorHAnsi"/>
          <w:i/>
          <w:szCs w:val="24"/>
          <w:lang w:val="en-GB"/>
        </w:rPr>
        <w:t>Digital Strategy for the Western Australian Government 2021–2025</w:t>
      </w:r>
      <w:r w:rsidR="003E4115" w:rsidRPr="00BC00A8">
        <w:rPr>
          <w:rFonts w:eastAsia="Arial" w:cstheme="minorHAnsi"/>
          <w:szCs w:val="24"/>
          <w:lang w:val="en-GB"/>
        </w:rPr>
        <w:t>, the Authority will strive to grow the ability for stakeholders to choose how Authority services are accessed. Whether through the website, over the phone or visiting the office, accessible and inclusive solutions to optimise service delivery will be available</w:t>
      </w:r>
      <w:r w:rsidR="00F86AEC">
        <w:rPr>
          <w:rFonts w:eastAsia="Arial" w:cstheme="minorHAnsi"/>
          <w:szCs w:val="24"/>
          <w:lang w:val="en-GB"/>
        </w:rPr>
        <w:t>.</w:t>
      </w:r>
    </w:p>
    <w:p w14:paraId="798C2FCA" w14:textId="77777777" w:rsidR="008F59C1" w:rsidRDefault="00C64AC1" w:rsidP="008F59C1">
      <w:pPr>
        <w:rPr>
          <w:rFonts w:cstheme="minorHAnsi"/>
        </w:rPr>
      </w:pPr>
      <w:r w:rsidRPr="00E13C3A">
        <w:rPr>
          <w:rFonts w:eastAsia="Times New Roman" w:cstheme="minorHAnsi"/>
          <w:bCs/>
          <w:lang w:eastAsia="en-AU"/>
        </w:rPr>
        <w:t xml:space="preserve">Review of the DAIP forms a part of the reporting process. </w:t>
      </w:r>
      <w:r>
        <w:rPr>
          <w:rFonts w:eastAsia="Times New Roman" w:cstheme="minorHAnsi"/>
          <w:bCs/>
          <w:lang w:eastAsia="en-AU"/>
        </w:rPr>
        <w:t xml:space="preserve"> </w:t>
      </w:r>
      <w:r w:rsidRPr="00673778">
        <w:rPr>
          <w:rFonts w:eastAsia="Times New Roman" w:cstheme="minorHAnsi"/>
          <w:bCs/>
          <w:lang w:eastAsia="en-AU"/>
        </w:rPr>
        <w:t>As and when the DAIP is amended, a copy of t</w:t>
      </w:r>
      <w:r>
        <w:rPr>
          <w:rFonts w:eastAsia="Times New Roman" w:cstheme="minorHAnsi"/>
          <w:bCs/>
          <w:lang w:eastAsia="en-AU"/>
        </w:rPr>
        <w:t>he amended plan is lodged with t</w:t>
      </w:r>
      <w:r w:rsidRPr="00673778">
        <w:rPr>
          <w:rFonts w:eastAsia="Times New Roman" w:cstheme="minorHAnsi"/>
          <w:bCs/>
          <w:lang w:eastAsia="en-AU"/>
        </w:rPr>
        <w:t xml:space="preserve">he </w:t>
      </w:r>
      <w:r>
        <w:rPr>
          <w:rFonts w:eastAsia="Times New Roman" w:cstheme="minorHAnsi"/>
          <w:bCs/>
          <w:lang w:eastAsia="en-AU"/>
        </w:rPr>
        <w:t>Department of Communities</w:t>
      </w:r>
      <w:r w:rsidRPr="00673778">
        <w:rPr>
          <w:rFonts w:eastAsia="Times New Roman" w:cstheme="minorHAnsi"/>
          <w:bCs/>
          <w:lang w:eastAsia="en-AU"/>
        </w:rPr>
        <w:t>.</w:t>
      </w:r>
      <w:r w:rsidR="008F59C1">
        <w:rPr>
          <w:rFonts w:eastAsia="Times New Roman" w:cstheme="minorHAnsi"/>
          <w:bCs/>
          <w:lang w:eastAsia="en-AU"/>
        </w:rPr>
        <w:t xml:space="preserve"> The Authority also </w:t>
      </w:r>
      <w:r w:rsidR="008F59C1" w:rsidRPr="00E13C3A">
        <w:rPr>
          <w:rFonts w:eastAsia="Times New Roman" w:cstheme="minorHAnsi"/>
          <w:bCs/>
          <w:lang w:eastAsia="en-AU"/>
        </w:rPr>
        <w:t xml:space="preserve">reports on the implementation of DAIP in its </w:t>
      </w:r>
      <w:r w:rsidR="008F59C1">
        <w:rPr>
          <w:rFonts w:eastAsia="Times New Roman" w:cstheme="minorHAnsi"/>
          <w:bCs/>
          <w:lang w:eastAsia="en-AU"/>
        </w:rPr>
        <w:t xml:space="preserve">annual report. </w:t>
      </w:r>
    </w:p>
    <w:p w14:paraId="552590A5" w14:textId="37D51622" w:rsidR="00333C4D" w:rsidRDefault="00333C4D" w:rsidP="00333C4D">
      <w:pPr>
        <w:rPr>
          <w:rFonts w:eastAsia="Times New Roman" w:cstheme="minorHAnsi"/>
          <w:bCs/>
          <w:lang w:eastAsia="en-AU"/>
        </w:rPr>
      </w:pPr>
      <w:r w:rsidRPr="00C64AC1">
        <w:rPr>
          <w:rFonts w:eastAsia="Times New Roman" w:cstheme="minorHAnsi"/>
          <w:bCs/>
          <w:lang w:eastAsia="en-AU"/>
        </w:rPr>
        <w:t>The Authority is committed to improv</w:t>
      </w:r>
      <w:r w:rsidR="00575789">
        <w:rPr>
          <w:rFonts w:eastAsia="Times New Roman" w:cstheme="minorHAnsi"/>
          <w:bCs/>
          <w:lang w:eastAsia="en-AU"/>
        </w:rPr>
        <w:t>ing</w:t>
      </w:r>
      <w:r w:rsidRPr="00C64AC1">
        <w:rPr>
          <w:rFonts w:eastAsia="Times New Roman" w:cstheme="minorHAnsi"/>
          <w:bCs/>
          <w:lang w:eastAsia="en-AU"/>
        </w:rPr>
        <w:t xml:space="preserve"> access and inclusion for people with disability, their families and carers. The Authority’s customers and stakeholders are provided with s</w:t>
      </w:r>
      <w:r>
        <w:rPr>
          <w:rFonts w:eastAsia="Times New Roman" w:cstheme="minorHAnsi"/>
          <w:bCs/>
          <w:lang w:eastAsia="en-AU"/>
        </w:rPr>
        <w:t xml:space="preserve">uitable </w:t>
      </w:r>
      <w:r w:rsidRPr="00C64AC1">
        <w:rPr>
          <w:rFonts w:eastAsia="Times New Roman" w:cstheme="minorHAnsi"/>
          <w:bCs/>
          <w:lang w:eastAsia="en-AU"/>
        </w:rPr>
        <w:t>options to comment on access to services and advice provided by the Authority. These include</w:t>
      </w:r>
      <w:r>
        <w:rPr>
          <w:rFonts w:eastAsia="Times New Roman" w:cstheme="minorHAnsi"/>
          <w:bCs/>
          <w:lang w:eastAsia="en-AU"/>
        </w:rPr>
        <w:t xml:space="preserve"> interpreter, AUSLAN and </w:t>
      </w:r>
      <w:r w:rsidR="003E70DC">
        <w:rPr>
          <w:rFonts w:eastAsia="Times New Roman" w:cstheme="minorHAnsi"/>
          <w:bCs/>
          <w:lang w:eastAsia="en-AU"/>
        </w:rPr>
        <w:t xml:space="preserve">braille </w:t>
      </w:r>
      <w:r>
        <w:rPr>
          <w:rFonts w:eastAsia="Times New Roman" w:cstheme="minorHAnsi"/>
          <w:bCs/>
          <w:lang w:eastAsia="en-AU"/>
        </w:rPr>
        <w:t xml:space="preserve">services on request, </w:t>
      </w:r>
      <w:r w:rsidRPr="00C64AC1">
        <w:rPr>
          <w:rFonts w:eastAsia="Times New Roman" w:cstheme="minorHAnsi"/>
          <w:bCs/>
          <w:lang w:eastAsia="en-AU"/>
        </w:rPr>
        <w:t>a</w:t>
      </w:r>
      <w:r>
        <w:rPr>
          <w:rFonts w:eastAsia="Times New Roman" w:cstheme="minorHAnsi"/>
          <w:bCs/>
          <w:lang w:eastAsia="en-AU"/>
        </w:rPr>
        <w:t>nd</w:t>
      </w:r>
      <w:r w:rsidRPr="00C64AC1">
        <w:rPr>
          <w:rFonts w:eastAsia="Times New Roman" w:cstheme="minorHAnsi"/>
          <w:bCs/>
          <w:lang w:eastAsia="en-AU"/>
        </w:rPr>
        <w:t xml:space="preserve"> </w:t>
      </w:r>
      <w:r>
        <w:rPr>
          <w:rFonts w:eastAsia="Times New Roman" w:cstheme="minorHAnsi"/>
          <w:bCs/>
          <w:lang w:eastAsia="en-AU"/>
        </w:rPr>
        <w:t xml:space="preserve">opportunity to make a complaint or request access to information through a </w:t>
      </w:r>
      <w:r w:rsidRPr="00C64AC1">
        <w:rPr>
          <w:rFonts w:eastAsia="Times New Roman" w:cstheme="minorHAnsi"/>
          <w:bCs/>
          <w:lang w:eastAsia="en-AU"/>
        </w:rPr>
        <w:t>dedicated email service</w:t>
      </w:r>
      <w:r w:rsidR="00B6640F">
        <w:rPr>
          <w:rFonts w:eastAsia="Times New Roman" w:cstheme="minorHAnsi"/>
          <w:bCs/>
          <w:lang w:eastAsia="en-AU"/>
        </w:rPr>
        <w:t>,</w:t>
      </w:r>
      <w:r w:rsidRPr="00C64AC1">
        <w:rPr>
          <w:rFonts w:eastAsia="Times New Roman" w:cstheme="minorHAnsi"/>
          <w:bCs/>
          <w:lang w:eastAsia="en-AU"/>
        </w:rPr>
        <w:t xml:space="preserve"> </w:t>
      </w:r>
      <w:hyperlink r:id="rId21" w:history="1">
        <w:r w:rsidR="003E70DC" w:rsidRPr="00764CDC">
          <w:rPr>
            <w:rStyle w:val="Hyperlink"/>
            <w:rFonts w:eastAsia="Times New Roman" w:cstheme="minorHAnsi"/>
            <w:bCs/>
            <w:lang w:eastAsia="en-AU"/>
          </w:rPr>
          <w:t>info@scsa.wa.edu.au</w:t>
        </w:r>
      </w:hyperlink>
      <w:r w:rsidRPr="00C64AC1">
        <w:rPr>
          <w:rFonts w:eastAsia="Times New Roman" w:cstheme="minorHAnsi"/>
          <w:bCs/>
          <w:lang w:eastAsia="en-AU"/>
        </w:rPr>
        <w:t>, telephone</w:t>
      </w:r>
      <w:r w:rsidR="003E70DC">
        <w:rPr>
          <w:rFonts w:eastAsia="Times New Roman" w:cstheme="minorHAnsi"/>
          <w:bCs/>
          <w:lang w:eastAsia="en-AU"/>
        </w:rPr>
        <w:t xml:space="preserve"> </w:t>
      </w:r>
      <w:r w:rsidRPr="00C64AC1">
        <w:rPr>
          <w:rFonts w:eastAsia="Times New Roman" w:cstheme="minorHAnsi"/>
          <w:bCs/>
          <w:lang w:eastAsia="en-AU"/>
        </w:rPr>
        <w:t xml:space="preserve">and in person. </w:t>
      </w:r>
    </w:p>
    <w:p w14:paraId="30B5E289" w14:textId="77777777" w:rsidR="00C4048A" w:rsidRDefault="00C4048A">
      <w:pPr>
        <w:rPr>
          <w:rFonts w:asciiTheme="majorHAnsi" w:eastAsiaTheme="majorEastAsia" w:hAnsiTheme="majorHAnsi" w:cstheme="majorBidi"/>
          <w:color w:val="410B68" w:themeColor="accent1" w:themeShade="BF"/>
          <w:sz w:val="32"/>
          <w:szCs w:val="32"/>
          <w:lang w:eastAsia="en-AU"/>
        </w:rPr>
      </w:pPr>
      <w:r>
        <w:br w:type="page"/>
      </w:r>
    </w:p>
    <w:p w14:paraId="12D17E6F" w14:textId="2511A363" w:rsidR="00F0363E" w:rsidRPr="00157E32" w:rsidRDefault="00F0363E" w:rsidP="00E204D5">
      <w:pPr>
        <w:pStyle w:val="AppendixH1"/>
      </w:pPr>
      <w:r w:rsidRPr="00157E32">
        <w:lastRenderedPageBreak/>
        <w:t>Contact Details</w:t>
      </w:r>
    </w:p>
    <w:p w14:paraId="09EC1582" w14:textId="536C51DA" w:rsidR="00F0363E" w:rsidRPr="00E13C3A" w:rsidRDefault="00F0363E" w:rsidP="00F0363E">
      <w:pPr>
        <w:rPr>
          <w:rFonts w:eastAsia="Times New Roman" w:cstheme="minorHAnsi"/>
          <w:bCs/>
          <w:lang w:eastAsia="en-AU"/>
        </w:rPr>
      </w:pPr>
      <w:r w:rsidRPr="00E13C3A">
        <w:rPr>
          <w:rFonts w:eastAsia="Times New Roman" w:cstheme="minorHAnsi"/>
          <w:bCs/>
          <w:lang w:eastAsia="en-AU"/>
        </w:rPr>
        <w:t>The Authority welcomes feedback on th</w:t>
      </w:r>
      <w:r w:rsidR="0054768C">
        <w:rPr>
          <w:rFonts w:eastAsia="Times New Roman" w:cstheme="minorHAnsi"/>
          <w:bCs/>
          <w:lang w:eastAsia="en-AU"/>
        </w:rPr>
        <w:t>is</w:t>
      </w:r>
      <w:r w:rsidRPr="00E13C3A">
        <w:rPr>
          <w:rFonts w:eastAsia="Times New Roman" w:cstheme="minorHAnsi"/>
          <w:bCs/>
          <w:lang w:eastAsia="en-AU"/>
        </w:rPr>
        <w:t xml:space="preserve"> DAIP.</w:t>
      </w:r>
    </w:p>
    <w:p w14:paraId="0094FB05" w14:textId="77777777" w:rsidR="00F0363E" w:rsidRPr="00E13C3A" w:rsidRDefault="00F0363E" w:rsidP="00F0363E">
      <w:pPr>
        <w:rPr>
          <w:rFonts w:eastAsia="Times New Roman" w:cstheme="minorHAnsi"/>
          <w:bCs/>
          <w:lang w:eastAsia="en-AU"/>
        </w:rPr>
      </w:pPr>
      <w:r w:rsidRPr="00E13C3A">
        <w:rPr>
          <w:rFonts w:eastAsia="Times New Roman" w:cstheme="minorHAnsi"/>
          <w:bCs/>
          <w:lang w:eastAsia="en-AU"/>
        </w:rPr>
        <w:t>Feedback can be provided via:</w:t>
      </w:r>
    </w:p>
    <w:p w14:paraId="6E6E9D92" w14:textId="77777777" w:rsidR="00F0363E" w:rsidRPr="00E13C3A" w:rsidRDefault="00F0363E" w:rsidP="00F0363E">
      <w:pPr>
        <w:rPr>
          <w:rFonts w:eastAsia="Times New Roman" w:cstheme="minorHAnsi"/>
          <w:bCs/>
          <w:lang w:eastAsia="en-AU"/>
        </w:rPr>
      </w:pPr>
      <w:r w:rsidRPr="00E13C3A">
        <w:rPr>
          <w:rFonts w:eastAsia="Times New Roman" w:cstheme="minorHAnsi"/>
          <w:b/>
          <w:bCs/>
          <w:lang w:eastAsia="en-AU"/>
        </w:rPr>
        <w:t>Email:</w:t>
      </w:r>
      <w:r w:rsidRPr="00E13C3A">
        <w:rPr>
          <w:rFonts w:eastAsia="Times New Roman" w:cstheme="minorHAnsi"/>
          <w:bCs/>
          <w:lang w:eastAsia="en-AU"/>
        </w:rPr>
        <w:t xml:space="preserve"> </w:t>
      </w:r>
      <w:hyperlink r:id="rId22" w:history="1">
        <w:r w:rsidRPr="00E13C3A">
          <w:rPr>
            <w:rStyle w:val="Hyperlink"/>
            <w:rFonts w:eastAsia="Times New Roman" w:cstheme="minorHAnsi"/>
            <w:bCs/>
            <w:lang w:eastAsia="en-AU"/>
          </w:rPr>
          <w:t>info@scsa.wa.edu.au</w:t>
        </w:r>
      </w:hyperlink>
    </w:p>
    <w:p w14:paraId="249FD112" w14:textId="77777777" w:rsidR="00F0363E" w:rsidRPr="00E13C3A" w:rsidRDefault="00F0363E" w:rsidP="00F0363E">
      <w:pPr>
        <w:rPr>
          <w:rFonts w:eastAsia="Times New Roman" w:cstheme="minorHAnsi"/>
          <w:bCs/>
          <w:lang w:eastAsia="en-AU"/>
        </w:rPr>
      </w:pPr>
      <w:r w:rsidRPr="00E13C3A">
        <w:rPr>
          <w:rFonts w:eastAsia="Times New Roman" w:cstheme="minorHAnsi"/>
          <w:b/>
          <w:bCs/>
          <w:lang w:eastAsia="en-AU"/>
        </w:rPr>
        <w:t>Phone</w:t>
      </w:r>
      <w:r w:rsidRPr="00E13C3A">
        <w:rPr>
          <w:rFonts w:eastAsia="Times New Roman" w:cstheme="minorHAnsi"/>
          <w:bCs/>
          <w:lang w:eastAsia="en-AU"/>
        </w:rPr>
        <w:t>: +61 8 9273 6300</w:t>
      </w:r>
    </w:p>
    <w:p w14:paraId="22245544" w14:textId="77777777" w:rsidR="00F0363E" w:rsidRPr="00E13C3A" w:rsidRDefault="00F0363E" w:rsidP="00F0363E">
      <w:pPr>
        <w:rPr>
          <w:rFonts w:eastAsia="Times New Roman" w:cstheme="minorHAnsi"/>
          <w:b/>
          <w:bCs/>
          <w:lang w:eastAsia="en-AU"/>
        </w:rPr>
      </w:pPr>
      <w:r w:rsidRPr="00E13C3A">
        <w:rPr>
          <w:rFonts w:eastAsia="Times New Roman" w:cstheme="minorHAnsi"/>
          <w:b/>
          <w:bCs/>
          <w:lang w:eastAsia="en-AU"/>
        </w:rPr>
        <w:t>In person:</w:t>
      </w:r>
    </w:p>
    <w:p w14:paraId="66E7CE3E" w14:textId="77777777" w:rsidR="00F0363E" w:rsidRPr="00E13C3A" w:rsidRDefault="00F0363E" w:rsidP="00F0363E">
      <w:pPr>
        <w:spacing w:after="0"/>
        <w:rPr>
          <w:rFonts w:eastAsia="Times New Roman" w:cstheme="minorHAnsi"/>
          <w:bCs/>
          <w:lang w:eastAsia="en-AU"/>
        </w:rPr>
      </w:pPr>
      <w:r w:rsidRPr="00E13C3A">
        <w:rPr>
          <w:rFonts w:eastAsia="Times New Roman" w:cstheme="minorHAnsi"/>
          <w:bCs/>
          <w:lang w:eastAsia="en-AU"/>
        </w:rPr>
        <w:t>School Curriculum and Standards Authority</w:t>
      </w:r>
      <w:r w:rsidRPr="00E13C3A">
        <w:rPr>
          <w:rFonts w:eastAsia="Times New Roman" w:cstheme="minorHAnsi"/>
          <w:bCs/>
          <w:lang w:eastAsia="en-AU"/>
        </w:rPr>
        <w:br/>
        <w:t>Mason Bird Building</w:t>
      </w:r>
    </w:p>
    <w:p w14:paraId="65E017BB" w14:textId="77777777" w:rsidR="00F0363E" w:rsidRPr="00E13C3A" w:rsidRDefault="00F0363E" w:rsidP="00F0363E">
      <w:pPr>
        <w:spacing w:after="0"/>
        <w:rPr>
          <w:rFonts w:eastAsia="Times New Roman" w:cstheme="minorHAnsi"/>
          <w:bCs/>
          <w:lang w:eastAsia="en-AU"/>
        </w:rPr>
      </w:pPr>
      <w:r w:rsidRPr="00E13C3A">
        <w:rPr>
          <w:rFonts w:eastAsia="Times New Roman" w:cstheme="minorHAnsi"/>
          <w:bCs/>
          <w:lang w:eastAsia="en-AU"/>
        </w:rPr>
        <w:t>Level 2, 303 Sevenoaks Street</w:t>
      </w:r>
    </w:p>
    <w:p w14:paraId="60FB60C2" w14:textId="77777777" w:rsidR="00F0363E" w:rsidRPr="00E13C3A" w:rsidRDefault="00F0363E" w:rsidP="00F0363E">
      <w:pPr>
        <w:spacing w:after="0"/>
        <w:rPr>
          <w:rFonts w:eastAsia="Times New Roman" w:cstheme="minorHAnsi"/>
          <w:bCs/>
          <w:lang w:eastAsia="en-AU"/>
        </w:rPr>
      </w:pPr>
      <w:r w:rsidRPr="00E13C3A">
        <w:rPr>
          <w:rFonts w:eastAsia="Times New Roman" w:cstheme="minorHAnsi"/>
          <w:bCs/>
          <w:lang w:eastAsia="en-AU"/>
        </w:rPr>
        <w:t>Cannington WA 6107</w:t>
      </w:r>
    </w:p>
    <w:p w14:paraId="26BBEE09" w14:textId="2BD21C52" w:rsidR="00F0363E" w:rsidRPr="00E13C3A" w:rsidRDefault="00F0363E" w:rsidP="00F0363E">
      <w:pPr>
        <w:rPr>
          <w:rFonts w:eastAsia="Times New Roman" w:cstheme="minorHAnsi"/>
          <w:bCs/>
          <w:lang w:eastAsia="en-AU"/>
        </w:rPr>
      </w:pPr>
      <w:r w:rsidRPr="00E13C3A">
        <w:rPr>
          <w:rFonts w:eastAsia="Times New Roman" w:cstheme="minorHAnsi"/>
          <w:bCs/>
          <w:lang w:eastAsia="en-AU"/>
        </w:rPr>
        <w:t>Office hours: 8.00 am–4.30 pm Monday to Friday</w:t>
      </w:r>
    </w:p>
    <w:p w14:paraId="12A796E7" w14:textId="77777777" w:rsidR="00F0363E" w:rsidRPr="00E13C3A" w:rsidRDefault="00F0363E" w:rsidP="00F0363E">
      <w:pPr>
        <w:rPr>
          <w:rFonts w:eastAsia="Times New Roman" w:cstheme="minorHAnsi"/>
          <w:bCs/>
          <w:lang w:eastAsia="en-AU"/>
        </w:rPr>
      </w:pPr>
      <w:r w:rsidRPr="00E13C3A">
        <w:rPr>
          <w:rFonts w:eastAsia="Times New Roman" w:cstheme="minorHAnsi"/>
          <w:b/>
          <w:bCs/>
          <w:lang w:eastAsia="en-AU"/>
        </w:rPr>
        <w:t>Fax:</w:t>
      </w:r>
      <w:r w:rsidRPr="00E13C3A">
        <w:rPr>
          <w:rFonts w:eastAsia="Times New Roman" w:cstheme="minorHAnsi"/>
          <w:bCs/>
          <w:lang w:eastAsia="en-AU"/>
        </w:rPr>
        <w:t xml:space="preserve"> +61 8 9273 6301</w:t>
      </w:r>
    </w:p>
    <w:p w14:paraId="4254E845" w14:textId="29635A4A" w:rsidR="00F0363E" w:rsidRPr="00E13C3A" w:rsidRDefault="00F0363E" w:rsidP="00F0363E">
      <w:pPr>
        <w:rPr>
          <w:rFonts w:eastAsia="Times New Roman" w:cstheme="minorHAnsi"/>
          <w:bCs/>
          <w:lang w:eastAsia="en-AU"/>
        </w:rPr>
      </w:pPr>
      <w:r w:rsidRPr="00E13C3A">
        <w:rPr>
          <w:rFonts w:eastAsia="Times New Roman" w:cstheme="minorHAnsi"/>
          <w:b/>
          <w:bCs/>
          <w:lang w:eastAsia="en-AU"/>
        </w:rPr>
        <w:t>Post:</w:t>
      </w:r>
      <w:r w:rsidRPr="00E13C3A">
        <w:rPr>
          <w:rFonts w:eastAsia="Times New Roman" w:cstheme="minorHAnsi"/>
          <w:bCs/>
          <w:lang w:eastAsia="en-AU"/>
        </w:rPr>
        <w:t xml:space="preserve"> PO Box 816 Cannington 698</w:t>
      </w:r>
      <w:r w:rsidR="00DE6242">
        <w:rPr>
          <w:rFonts w:eastAsia="Times New Roman" w:cstheme="minorHAnsi"/>
          <w:bCs/>
          <w:lang w:eastAsia="en-AU"/>
        </w:rPr>
        <w:t>7</w:t>
      </w:r>
    </w:p>
    <w:p w14:paraId="5EDCD5ED" w14:textId="55167AF5" w:rsidR="00BC00A8" w:rsidRPr="00E13C3A" w:rsidRDefault="00F0363E" w:rsidP="00BC00A8">
      <w:pPr>
        <w:rPr>
          <w:rFonts w:eastAsia="Times New Roman" w:cstheme="minorHAnsi"/>
          <w:bCs/>
          <w:lang w:eastAsia="en-AU"/>
        </w:rPr>
      </w:pPr>
      <w:r w:rsidRPr="00E13C3A">
        <w:rPr>
          <w:rFonts w:eastAsia="Times New Roman" w:cstheme="minorHAnsi"/>
          <w:b/>
          <w:bCs/>
          <w:lang w:eastAsia="en-AU"/>
        </w:rPr>
        <w:t>Social Media:</w:t>
      </w:r>
      <w:r w:rsidRPr="00E13C3A">
        <w:rPr>
          <w:rFonts w:eastAsia="Times New Roman" w:cstheme="minorHAnsi"/>
          <w:bCs/>
          <w:lang w:eastAsia="en-AU"/>
        </w:rPr>
        <w:t xml:space="preserve"> </w:t>
      </w:r>
      <w:hyperlink r:id="rId23" w:history="1">
        <w:r w:rsidR="00BC00A8" w:rsidRPr="00BB2546">
          <w:rPr>
            <w:rStyle w:val="Hyperlink"/>
            <w:rFonts w:eastAsia="Times New Roman" w:cstheme="minorHAnsi"/>
            <w:bCs/>
            <w:lang w:eastAsia="en-AU"/>
          </w:rPr>
          <w:t>https://www.facebook.com/scsawa/</w:t>
        </w:r>
      </w:hyperlink>
      <w:r w:rsidR="00BC00A8">
        <w:rPr>
          <w:rFonts w:eastAsia="Times New Roman" w:cstheme="minorHAnsi"/>
          <w:bCs/>
          <w:lang w:eastAsia="en-AU"/>
        </w:rPr>
        <w:t xml:space="preserve"> </w:t>
      </w:r>
    </w:p>
    <w:p w14:paraId="08F9AE7B" w14:textId="77777777" w:rsidR="00275B4C" w:rsidRDefault="008201AC" w:rsidP="00F0363E">
      <w:pPr>
        <w:rPr>
          <w:rFonts w:eastAsia="Times New Roman" w:cstheme="minorHAnsi"/>
          <w:bCs/>
          <w:lang w:eastAsia="en-AU"/>
        </w:rPr>
        <w:sectPr w:rsidR="00275B4C" w:rsidSect="005247B5">
          <w:type w:val="oddPage"/>
          <w:pgSz w:w="11906" w:h="16838"/>
          <w:pgMar w:top="1361" w:right="1440" w:bottom="1701" w:left="1440" w:header="709" w:footer="709" w:gutter="0"/>
          <w:pgNumType w:start="1"/>
          <w:cols w:space="708"/>
          <w:docGrid w:linePitch="360"/>
        </w:sectPr>
      </w:pPr>
      <w:r w:rsidRPr="00E13C3A">
        <w:rPr>
          <w:rFonts w:eastAsia="Times New Roman" w:cstheme="minorHAnsi"/>
          <w:bCs/>
          <w:lang w:eastAsia="en-AU"/>
        </w:rPr>
        <w:br w:type="page"/>
      </w:r>
    </w:p>
    <w:p w14:paraId="571333E4" w14:textId="2DBD8C39" w:rsidR="0000376C" w:rsidRDefault="00275B4C" w:rsidP="006E0ACE">
      <w:pPr>
        <w:pStyle w:val="AppendixH1"/>
      </w:pPr>
      <w:r>
        <w:lastRenderedPageBreak/>
        <w:t>Appendix</w:t>
      </w:r>
    </w:p>
    <w:p w14:paraId="16BA91AA" w14:textId="01867662" w:rsidR="00695A1B" w:rsidRPr="00E13C3A" w:rsidRDefault="00892B3D" w:rsidP="0073670D">
      <w:pPr>
        <w:pStyle w:val="AppendixH2"/>
      </w:pPr>
      <w:r w:rsidRPr="00E13C3A">
        <w:t>Services and events</w:t>
      </w:r>
    </w:p>
    <w:tbl>
      <w:tblPr>
        <w:tblStyle w:val="ListTable3-Accent4"/>
        <w:tblW w:w="13841" w:type="dxa"/>
        <w:tblLook w:val="0020" w:firstRow="1" w:lastRow="0" w:firstColumn="0" w:lastColumn="0" w:noHBand="0" w:noVBand="0"/>
      </w:tblPr>
      <w:tblGrid>
        <w:gridCol w:w="8224"/>
        <w:gridCol w:w="2980"/>
        <w:gridCol w:w="2637"/>
      </w:tblGrid>
      <w:tr w:rsidR="00DC27B0" w:rsidRPr="00C4048A" w14:paraId="2EB99E2A" w14:textId="5837EB82"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224" w:type="dxa"/>
            <w:tcBorders>
              <w:top w:val="single" w:sz="8" w:space="0" w:color="FFFFFF" w:themeColor="background1"/>
              <w:bottom w:val="single" w:sz="4" w:space="0" w:color="9983B5" w:themeColor="accent4"/>
              <w:right w:val="single" w:sz="8" w:space="0" w:color="FFFFFF" w:themeColor="background1"/>
            </w:tcBorders>
            <w:vAlign w:val="center"/>
          </w:tcPr>
          <w:p w14:paraId="0E72E673" w14:textId="7F8DECC7" w:rsidR="00DC27B0" w:rsidRPr="00C4048A" w:rsidRDefault="00DC27B0" w:rsidP="007939AB">
            <w:r w:rsidRPr="00C4048A">
              <w:t xml:space="preserve">People with disability have the same opportunities as other people to access the services of, and any events organised by, </w:t>
            </w:r>
            <w:r w:rsidR="00C93576">
              <w:t xml:space="preserve">the </w:t>
            </w:r>
            <w:r w:rsidR="00C93576">
              <w:rPr>
                <w:rFonts w:cstheme="minorHAnsi"/>
              </w:rPr>
              <w:t>Authority</w:t>
            </w:r>
            <w:r w:rsidRPr="00C4048A">
              <w:t>.</w:t>
            </w:r>
          </w:p>
        </w:tc>
        <w:tc>
          <w:tcPr>
            <w:tcW w:w="2980" w:type="dxa"/>
            <w:tcBorders>
              <w:top w:val="single" w:sz="8" w:space="0" w:color="FFFFFF" w:themeColor="background1"/>
              <w:left w:val="single" w:sz="8" w:space="0" w:color="FFFFFF" w:themeColor="background1"/>
              <w:bottom w:val="single" w:sz="4" w:space="0" w:color="9983B5" w:themeColor="accent4"/>
              <w:right w:val="single" w:sz="8" w:space="0" w:color="FFFFFF" w:themeColor="background1"/>
            </w:tcBorders>
            <w:vAlign w:val="center"/>
          </w:tcPr>
          <w:p w14:paraId="68FF8C63" w14:textId="285E564B" w:rsidR="00DC27B0" w:rsidRPr="00C4048A" w:rsidRDefault="00DC27B0" w:rsidP="007939AB">
            <w:pPr>
              <w:cnfStyle w:val="100000000000" w:firstRow="1" w:lastRow="0" w:firstColumn="0" w:lastColumn="0" w:oddVBand="0" w:evenVBand="0" w:oddHBand="0" w:evenHBand="0" w:firstRowFirstColumn="0" w:firstRowLastColumn="0" w:lastRowFirstColumn="0" w:lastRowLastColumn="0"/>
            </w:pPr>
            <w:r w:rsidRPr="00C4048A">
              <w:t>Time</w:t>
            </w:r>
            <w:r w:rsidR="00720182" w:rsidRPr="00C4048A">
              <w:t>frame</w:t>
            </w:r>
          </w:p>
        </w:tc>
        <w:tc>
          <w:tcPr>
            <w:cnfStyle w:val="000010000000" w:firstRow="0" w:lastRow="0" w:firstColumn="0" w:lastColumn="0" w:oddVBand="1" w:evenVBand="0" w:oddHBand="0" w:evenHBand="0" w:firstRowFirstColumn="0" w:firstRowLastColumn="0" w:lastRowFirstColumn="0" w:lastRowLastColumn="0"/>
            <w:tcW w:w="2637" w:type="dxa"/>
            <w:tcBorders>
              <w:top w:val="single" w:sz="8" w:space="0" w:color="FFFFFF" w:themeColor="background1"/>
              <w:left w:val="single" w:sz="8" w:space="0" w:color="FFFFFF" w:themeColor="background1"/>
              <w:bottom w:val="single" w:sz="4" w:space="0" w:color="9983B5" w:themeColor="accent4"/>
            </w:tcBorders>
            <w:vAlign w:val="center"/>
          </w:tcPr>
          <w:p w14:paraId="7452C96B" w14:textId="31292D01" w:rsidR="00DC27B0" w:rsidRPr="00C4048A" w:rsidRDefault="00DC27B0" w:rsidP="007939AB">
            <w:r w:rsidRPr="00C4048A">
              <w:t>Responsibility</w:t>
            </w:r>
          </w:p>
        </w:tc>
      </w:tr>
      <w:tr w:rsidR="00DC27B0" w:rsidRPr="00E13C3A" w14:paraId="3FD8A84D" w14:textId="2705FCFE" w:rsidTr="007939AB">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224" w:type="dxa"/>
          </w:tcPr>
          <w:p w14:paraId="21F56FD3" w14:textId="4E079965" w:rsidR="00D625E7" w:rsidRPr="00C4048A" w:rsidRDefault="0080341D" w:rsidP="005215F8">
            <w:pPr>
              <w:pStyle w:val="Appendix3"/>
              <w:numPr>
                <w:ilvl w:val="1"/>
                <w:numId w:val="10"/>
              </w:numPr>
            </w:pPr>
            <w:r w:rsidRPr="003E4115">
              <w:t xml:space="preserve">Develop an accessibility and inclusion checklist that </w:t>
            </w:r>
            <w:r w:rsidR="00533E79" w:rsidRPr="003E4115">
              <w:t>considers</w:t>
            </w:r>
            <w:r w:rsidRPr="003E4115">
              <w:t xml:space="preserve"> the</w:t>
            </w:r>
            <w:r w:rsidR="00B229A4">
              <w:t xml:space="preserve"> requirements </w:t>
            </w:r>
            <w:r w:rsidR="00AC3553">
              <w:t xml:space="preserve">of </w:t>
            </w:r>
            <w:r w:rsidR="00B229A4">
              <w:t>people with disability</w:t>
            </w:r>
            <w:r w:rsidR="003E4115" w:rsidRPr="003E4115">
              <w:t xml:space="preserve"> and </w:t>
            </w:r>
            <w:r w:rsidR="00533E79" w:rsidRPr="003E4115">
              <w:t xml:space="preserve">multiple options to </w:t>
            </w:r>
            <w:r w:rsidR="003762A8">
              <w:t xml:space="preserve">access services and </w:t>
            </w:r>
            <w:r w:rsidR="00533E79" w:rsidRPr="003E4115">
              <w:t xml:space="preserve">attend </w:t>
            </w:r>
            <w:r w:rsidR="00521EC1" w:rsidRPr="003E4115">
              <w:t xml:space="preserve">Authority </w:t>
            </w:r>
            <w:r w:rsidR="00D625E7" w:rsidRPr="003E4115">
              <w:t>events</w:t>
            </w:r>
            <w:r w:rsidR="00533E79" w:rsidRPr="003E4115">
              <w:t xml:space="preserve">, </w:t>
            </w:r>
            <w:r w:rsidR="00AC3553" w:rsidRPr="003E4115">
              <w:t>meetings,</w:t>
            </w:r>
            <w:r w:rsidR="00533E79" w:rsidRPr="003E4115">
              <w:t xml:space="preserve"> and training</w:t>
            </w:r>
            <w:r w:rsidR="00D625E7" w:rsidRPr="003E4115">
              <w:t>.</w:t>
            </w:r>
          </w:p>
        </w:tc>
        <w:tc>
          <w:tcPr>
            <w:tcW w:w="2980" w:type="dxa"/>
          </w:tcPr>
          <w:p w14:paraId="5FCFBED4" w14:textId="7AA2C47F" w:rsidR="00DC27B0" w:rsidRPr="00E13C3A" w:rsidRDefault="00167EC6" w:rsidP="00F9602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June</w:t>
            </w:r>
            <w:r w:rsidR="00533E79">
              <w:rPr>
                <w:rFonts w:eastAsia="Times New Roman" w:cstheme="minorHAnsi"/>
                <w:lang w:eastAsia="en-AU"/>
              </w:rPr>
              <w:t xml:space="preserve"> 2023</w:t>
            </w:r>
          </w:p>
        </w:tc>
        <w:tc>
          <w:tcPr>
            <w:cnfStyle w:val="000010000000" w:firstRow="0" w:lastRow="0" w:firstColumn="0" w:lastColumn="0" w:oddVBand="1" w:evenVBand="0" w:oddHBand="0" w:evenHBand="0" w:firstRowFirstColumn="0" w:firstRowLastColumn="0" w:lastRowFirstColumn="0" w:lastRowLastColumn="0"/>
            <w:tcW w:w="2637" w:type="dxa"/>
          </w:tcPr>
          <w:p w14:paraId="46800D37" w14:textId="114C03CD" w:rsidR="00521EC1" w:rsidRDefault="00521EC1" w:rsidP="00695A1B">
            <w:pPr>
              <w:spacing w:after="120"/>
              <w:rPr>
                <w:rFonts w:eastAsia="Times New Roman" w:cstheme="minorHAnsi"/>
                <w:lang w:eastAsia="en-AU"/>
              </w:rPr>
            </w:pPr>
            <w:r>
              <w:rPr>
                <w:rFonts w:eastAsia="Times New Roman" w:cstheme="minorHAnsi"/>
                <w:lang w:eastAsia="en-AU"/>
              </w:rPr>
              <w:t>Event Organisers</w:t>
            </w:r>
          </w:p>
          <w:p w14:paraId="61B99407" w14:textId="77777777" w:rsidR="00DC27B0" w:rsidRDefault="00521EC1" w:rsidP="00695A1B">
            <w:pPr>
              <w:spacing w:after="120"/>
              <w:rPr>
                <w:rFonts w:eastAsia="Times New Roman" w:cstheme="minorHAnsi"/>
                <w:lang w:eastAsia="en-AU"/>
              </w:rPr>
            </w:pPr>
            <w:r>
              <w:rPr>
                <w:rFonts w:eastAsia="Times New Roman" w:cstheme="minorHAnsi"/>
                <w:lang w:eastAsia="en-AU"/>
              </w:rPr>
              <w:t>Team Managers</w:t>
            </w:r>
          </w:p>
          <w:p w14:paraId="2AEFB3C7" w14:textId="77777777" w:rsidR="009F65D9" w:rsidRDefault="009F65D9" w:rsidP="00695A1B">
            <w:pPr>
              <w:spacing w:after="120"/>
              <w:rPr>
                <w:rFonts w:eastAsia="Times New Roman" w:cstheme="minorHAnsi"/>
                <w:lang w:eastAsia="en-AU"/>
              </w:rPr>
            </w:pPr>
            <w:r>
              <w:rPr>
                <w:rFonts w:eastAsia="Times New Roman" w:cstheme="minorHAnsi"/>
                <w:lang w:eastAsia="en-AU"/>
              </w:rPr>
              <w:t>Principal Consultant – Executive Services</w:t>
            </w:r>
          </w:p>
          <w:p w14:paraId="2BC75E23" w14:textId="6DE08466" w:rsidR="009F65D9" w:rsidRPr="00E13C3A" w:rsidRDefault="009F65D9" w:rsidP="00695A1B">
            <w:pPr>
              <w:spacing w:after="120"/>
              <w:rPr>
                <w:rFonts w:eastAsia="Times New Roman" w:cstheme="minorHAnsi"/>
                <w:lang w:eastAsia="en-AU"/>
              </w:rPr>
            </w:pPr>
            <w:r>
              <w:rPr>
                <w:rFonts w:eastAsia="Times New Roman" w:cstheme="minorHAnsi"/>
                <w:lang w:eastAsia="en-AU"/>
              </w:rPr>
              <w:t>Principal Consultant – Digital Strategy</w:t>
            </w:r>
            <w:r w:rsidR="003E70DC">
              <w:rPr>
                <w:rFonts w:eastAsia="Times New Roman" w:cstheme="minorHAnsi"/>
                <w:lang w:eastAsia="en-AU"/>
              </w:rPr>
              <w:t xml:space="preserve"> and Delivery</w:t>
            </w:r>
          </w:p>
        </w:tc>
      </w:tr>
      <w:tr w:rsidR="00DC27B0" w:rsidRPr="00E13C3A" w14:paraId="126AF548" w14:textId="1A733198" w:rsidTr="00C4048A">
        <w:trPr>
          <w:trHeight w:val="454"/>
        </w:trPr>
        <w:tc>
          <w:tcPr>
            <w:cnfStyle w:val="000010000000" w:firstRow="0" w:lastRow="0" w:firstColumn="0" w:lastColumn="0" w:oddVBand="1" w:evenVBand="0" w:oddHBand="0" w:evenHBand="0" w:firstRowFirstColumn="0" w:firstRowLastColumn="0" w:lastRowFirstColumn="0" w:lastRowLastColumn="0"/>
            <w:tcW w:w="8224" w:type="dxa"/>
          </w:tcPr>
          <w:p w14:paraId="75BD7147" w14:textId="4B940F2B" w:rsidR="00DC27B0" w:rsidRPr="005215F8" w:rsidRDefault="00533E79" w:rsidP="005215F8">
            <w:pPr>
              <w:pStyle w:val="Appendix3"/>
            </w:pPr>
            <w:r w:rsidRPr="005215F8">
              <w:t xml:space="preserve">Consider </w:t>
            </w:r>
            <w:r w:rsidR="00DC27B0" w:rsidRPr="005215F8">
              <w:t xml:space="preserve">the objectives of the DAIP </w:t>
            </w:r>
            <w:r w:rsidRPr="005215F8">
              <w:t>2023</w:t>
            </w:r>
            <w:r w:rsidR="003762A8" w:rsidRPr="005215F8">
              <w:t>–</w:t>
            </w:r>
            <w:r w:rsidRPr="005215F8">
              <w:t xml:space="preserve">2027 </w:t>
            </w:r>
            <w:r w:rsidR="00DC27B0" w:rsidRPr="005215F8">
              <w:t>in the Authority’s strategic planning, relevant plans and strategies, and budgeting processes.</w:t>
            </w:r>
          </w:p>
        </w:tc>
        <w:tc>
          <w:tcPr>
            <w:tcW w:w="2980" w:type="dxa"/>
          </w:tcPr>
          <w:p w14:paraId="7FAFB2CA" w14:textId="51593C57" w:rsidR="00DC27B0" w:rsidRPr="00E13C3A" w:rsidRDefault="00533E79" w:rsidP="00695A1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June 2023</w:t>
            </w:r>
          </w:p>
        </w:tc>
        <w:tc>
          <w:tcPr>
            <w:cnfStyle w:val="000010000000" w:firstRow="0" w:lastRow="0" w:firstColumn="0" w:lastColumn="0" w:oddVBand="1" w:evenVBand="0" w:oddHBand="0" w:evenHBand="0" w:firstRowFirstColumn="0" w:firstRowLastColumn="0" w:lastRowFirstColumn="0" w:lastRowLastColumn="0"/>
            <w:tcW w:w="2637" w:type="dxa"/>
          </w:tcPr>
          <w:p w14:paraId="3E734E88" w14:textId="77777777" w:rsidR="00DC27B0" w:rsidRDefault="00DC27B0" w:rsidP="00695A1B">
            <w:pPr>
              <w:spacing w:after="120"/>
              <w:rPr>
                <w:rFonts w:eastAsia="Times New Roman" w:cstheme="minorHAnsi"/>
                <w:lang w:eastAsia="en-AU"/>
              </w:rPr>
            </w:pPr>
            <w:r>
              <w:rPr>
                <w:rFonts w:eastAsia="Times New Roman" w:cstheme="minorHAnsi"/>
                <w:lang w:eastAsia="en-AU"/>
              </w:rPr>
              <w:t>SCS Executive Group</w:t>
            </w:r>
          </w:p>
          <w:p w14:paraId="0F837FB6" w14:textId="7627B303" w:rsidR="00F96023" w:rsidRDefault="00F96023" w:rsidP="00695A1B">
            <w:pPr>
              <w:spacing w:after="120"/>
              <w:rPr>
                <w:rFonts w:eastAsia="Times New Roman" w:cstheme="minorHAnsi"/>
                <w:lang w:eastAsia="en-AU"/>
              </w:rPr>
            </w:pPr>
            <w:r>
              <w:rPr>
                <w:rFonts w:eastAsia="Times New Roman" w:cstheme="minorHAnsi"/>
                <w:lang w:eastAsia="en-AU"/>
              </w:rPr>
              <w:t>Team Managers</w:t>
            </w:r>
          </w:p>
          <w:p w14:paraId="504255A1" w14:textId="0B384A45" w:rsidR="00F96023" w:rsidRPr="00E13C3A" w:rsidRDefault="00F96023" w:rsidP="00695A1B">
            <w:pPr>
              <w:spacing w:after="120"/>
              <w:rPr>
                <w:rFonts w:eastAsia="Times New Roman" w:cstheme="minorHAnsi"/>
                <w:lang w:eastAsia="en-AU"/>
              </w:rPr>
            </w:pPr>
            <w:r>
              <w:rPr>
                <w:rFonts w:eastAsia="Times New Roman" w:cstheme="minorHAnsi"/>
                <w:lang w:eastAsia="en-AU"/>
              </w:rPr>
              <w:t>Manager Finance</w:t>
            </w:r>
          </w:p>
        </w:tc>
      </w:tr>
      <w:tr w:rsidR="00DC27B0" w:rsidRPr="00E13C3A" w14:paraId="270152D5" w14:textId="1BDBF149" w:rsidTr="00C404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224" w:type="dxa"/>
          </w:tcPr>
          <w:p w14:paraId="2C509569" w14:textId="58C9AA38" w:rsidR="00DC27B0" w:rsidRPr="005215F8" w:rsidRDefault="00521EC1" w:rsidP="005215F8">
            <w:pPr>
              <w:pStyle w:val="Appendix3"/>
            </w:pPr>
            <w:r w:rsidRPr="005215F8">
              <w:t xml:space="preserve">Monitor </w:t>
            </w:r>
            <w:r w:rsidR="00533E79" w:rsidRPr="005215F8">
              <w:t>and</w:t>
            </w:r>
            <w:r w:rsidR="003762A8" w:rsidRPr="005215F8">
              <w:t>/</w:t>
            </w:r>
            <w:r w:rsidR="00533E79" w:rsidRPr="005215F8">
              <w:t xml:space="preserve">or </w:t>
            </w:r>
            <w:r w:rsidR="003B730B" w:rsidRPr="005215F8">
              <w:t xml:space="preserve">promote </w:t>
            </w:r>
            <w:r w:rsidR="00DC27B0" w:rsidRPr="005215F8">
              <w:t>use of technology to ensure inclusion of people with disability</w:t>
            </w:r>
            <w:r w:rsidR="00533E79" w:rsidRPr="005215F8">
              <w:t xml:space="preserve"> in meetings and </w:t>
            </w:r>
            <w:r w:rsidR="00DC27B0" w:rsidRPr="005215F8">
              <w:t>when using online services</w:t>
            </w:r>
            <w:r w:rsidR="00533E79" w:rsidRPr="005215F8">
              <w:t xml:space="preserve"> (for example, use of WebEx for meetings with close</w:t>
            </w:r>
            <w:r w:rsidR="003762A8" w:rsidRPr="005215F8">
              <w:t>d</w:t>
            </w:r>
            <w:r w:rsidR="00533E79" w:rsidRPr="005215F8">
              <w:t xml:space="preserve"> captions enabled</w:t>
            </w:r>
            <w:r w:rsidR="009F65D9" w:rsidRPr="005215F8">
              <w:t>, text</w:t>
            </w:r>
            <w:r w:rsidR="003762A8" w:rsidRPr="005215F8">
              <w:t>-</w:t>
            </w:r>
            <w:r w:rsidR="009F65D9" w:rsidRPr="005215F8">
              <w:t>to</w:t>
            </w:r>
            <w:r w:rsidR="003762A8" w:rsidRPr="005215F8">
              <w:t>-</w:t>
            </w:r>
            <w:r w:rsidR="009F65D9" w:rsidRPr="005215F8">
              <w:t>speech or speech</w:t>
            </w:r>
            <w:r w:rsidR="003762A8" w:rsidRPr="005215F8">
              <w:t>-</w:t>
            </w:r>
            <w:r w:rsidR="009F65D9" w:rsidRPr="005215F8">
              <w:t>to</w:t>
            </w:r>
            <w:r w:rsidR="003762A8" w:rsidRPr="005215F8">
              <w:t>-</w:t>
            </w:r>
            <w:r w:rsidR="009F65D9" w:rsidRPr="005215F8">
              <w:t>text services</w:t>
            </w:r>
            <w:r w:rsidR="00533E79" w:rsidRPr="005215F8">
              <w:t>)</w:t>
            </w:r>
            <w:r w:rsidR="00DC27B0" w:rsidRPr="005215F8">
              <w:t>.</w:t>
            </w:r>
          </w:p>
        </w:tc>
        <w:tc>
          <w:tcPr>
            <w:tcW w:w="2980" w:type="dxa"/>
          </w:tcPr>
          <w:p w14:paraId="33ED1882" w14:textId="77777777" w:rsidR="00DC27B0" w:rsidRDefault="00DC27B0" w:rsidP="0000376C">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p>
          <w:p w14:paraId="2A80B736" w14:textId="29D20A85" w:rsidR="00E10894" w:rsidRPr="00E13C3A" w:rsidRDefault="00E10894" w:rsidP="0000376C">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Case</w:t>
            </w:r>
            <w:r>
              <w:rPr>
                <w:rFonts w:eastAsia="Times New Roman" w:cstheme="minorHAnsi"/>
                <w:lang w:eastAsia="en-AU"/>
              </w:rPr>
              <w:t>-</w:t>
            </w:r>
            <w:r w:rsidRPr="00E13C3A">
              <w:rPr>
                <w:rFonts w:eastAsia="Times New Roman" w:cstheme="minorHAnsi"/>
                <w:lang w:eastAsia="en-AU"/>
              </w:rPr>
              <w:t>by</w:t>
            </w:r>
            <w:r>
              <w:rPr>
                <w:rFonts w:eastAsia="Times New Roman" w:cstheme="minorHAnsi"/>
                <w:lang w:eastAsia="en-AU"/>
              </w:rPr>
              <w:t>-</w:t>
            </w:r>
            <w:r w:rsidRPr="00E13C3A">
              <w:rPr>
                <w:rFonts w:eastAsia="Times New Roman" w:cstheme="minorHAnsi"/>
                <w:lang w:eastAsia="en-AU"/>
              </w:rPr>
              <w:t>case</w:t>
            </w:r>
            <w:r>
              <w:rPr>
                <w:rFonts w:eastAsia="Times New Roman" w:cstheme="minorHAnsi"/>
                <w:lang w:eastAsia="en-AU"/>
              </w:rPr>
              <w:t>,</w:t>
            </w:r>
            <w:r w:rsidRPr="00E13C3A">
              <w:rPr>
                <w:rFonts w:eastAsia="Times New Roman" w:cstheme="minorHAnsi"/>
                <w:lang w:eastAsia="en-AU"/>
              </w:rPr>
              <w:t xml:space="preserve"> depending on requirements of the </w:t>
            </w:r>
            <w:r>
              <w:rPr>
                <w:rFonts w:eastAsia="Times New Roman" w:cstheme="minorHAnsi"/>
                <w:lang w:eastAsia="en-AU"/>
              </w:rPr>
              <w:t xml:space="preserve">specific </w:t>
            </w:r>
            <w:r w:rsidRPr="00E13C3A">
              <w:rPr>
                <w:rFonts w:eastAsia="Times New Roman" w:cstheme="minorHAnsi"/>
                <w:lang w:eastAsia="en-AU"/>
              </w:rPr>
              <w:t>function</w:t>
            </w:r>
          </w:p>
        </w:tc>
        <w:tc>
          <w:tcPr>
            <w:cnfStyle w:val="000010000000" w:firstRow="0" w:lastRow="0" w:firstColumn="0" w:lastColumn="0" w:oddVBand="1" w:evenVBand="0" w:oddHBand="0" w:evenHBand="0" w:firstRowFirstColumn="0" w:firstRowLastColumn="0" w:lastRowFirstColumn="0" w:lastRowLastColumn="0"/>
            <w:tcW w:w="2637" w:type="dxa"/>
          </w:tcPr>
          <w:p w14:paraId="19B11668" w14:textId="0B6C41F7" w:rsidR="00DC27B0" w:rsidRDefault="00DC27B0" w:rsidP="0000376C">
            <w:pPr>
              <w:spacing w:after="120"/>
              <w:rPr>
                <w:rFonts w:eastAsia="Times New Roman" w:cstheme="minorHAnsi"/>
                <w:lang w:eastAsia="en-AU"/>
              </w:rPr>
            </w:pPr>
            <w:r>
              <w:rPr>
                <w:rFonts w:eastAsia="Times New Roman" w:cstheme="minorHAnsi"/>
                <w:lang w:eastAsia="en-AU"/>
              </w:rPr>
              <w:t>Principal Consultant Digital Strategy</w:t>
            </w:r>
            <w:r w:rsidR="003E70DC">
              <w:rPr>
                <w:rFonts w:eastAsia="Times New Roman" w:cstheme="minorHAnsi"/>
                <w:lang w:eastAsia="en-AU"/>
              </w:rPr>
              <w:t xml:space="preserve"> and Delivery</w:t>
            </w:r>
          </w:p>
          <w:p w14:paraId="4648117D" w14:textId="6B2E0C0D" w:rsidR="00DC27B0" w:rsidRDefault="00DC27B0" w:rsidP="0000376C">
            <w:pPr>
              <w:spacing w:after="120"/>
              <w:rPr>
                <w:rFonts w:eastAsia="Times New Roman" w:cstheme="minorHAnsi"/>
                <w:lang w:eastAsia="en-AU"/>
              </w:rPr>
            </w:pPr>
            <w:r>
              <w:rPr>
                <w:rFonts w:eastAsia="Times New Roman" w:cstheme="minorHAnsi"/>
                <w:lang w:eastAsia="en-AU"/>
              </w:rPr>
              <w:t xml:space="preserve">Manager </w:t>
            </w:r>
            <w:r w:rsidR="00785947">
              <w:rPr>
                <w:rFonts w:eastAsia="Times New Roman" w:cstheme="minorHAnsi"/>
                <w:lang w:eastAsia="en-AU"/>
              </w:rPr>
              <w:t xml:space="preserve">– </w:t>
            </w:r>
            <w:r>
              <w:rPr>
                <w:rFonts w:eastAsia="Times New Roman" w:cstheme="minorHAnsi"/>
                <w:lang w:eastAsia="en-AU"/>
              </w:rPr>
              <w:t>Publications and Communication</w:t>
            </w:r>
          </w:p>
          <w:p w14:paraId="5FC4314B" w14:textId="0F6F9556" w:rsidR="009F65D9" w:rsidRPr="00E13C3A" w:rsidRDefault="009F65D9" w:rsidP="0000376C">
            <w:pPr>
              <w:spacing w:after="120"/>
              <w:rPr>
                <w:rFonts w:eastAsia="Times New Roman" w:cstheme="minorHAnsi"/>
                <w:lang w:eastAsia="en-AU"/>
              </w:rPr>
            </w:pPr>
            <w:r>
              <w:rPr>
                <w:rFonts w:eastAsia="Times New Roman" w:cstheme="minorHAnsi"/>
                <w:lang w:eastAsia="en-AU"/>
              </w:rPr>
              <w:t>Principal Consultant – Strategic Engagement</w:t>
            </w:r>
          </w:p>
        </w:tc>
      </w:tr>
    </w:tbl>
    <w:p w14:paraId="716414E4" w14:textId="1E78304C" w:rsidR="00695A1B" w:rsidRDefault="00521EC1" w:rsidP="006E0ACE">
      <w:pPr>
        <w:pStyle w:val="AppendixH2"/>
      </w:pPr>
      <w:r w:rsidRPr="006E0ACE">
        <w:br w:type="page"/>
      </w:r>
      <w:r w:rsidR="00892B3D" w:rsidRPr="00E13C3A">
        <w:lastRenderedPageBreak/>
        <w:t xml:space="preserve"> Building and facilities</w:t>
      </w:r>
    </w:p>
    <w:p w14:paraId="4A62AC99" w14:textId="4FD89203" w:rsidR="003E70DC" w:rsidRDefault="003E70DC" w:rsidP="003E70DC">
      <w:pPr>
        <w:spacing w:after="120" w:line="240" w:lineRule="auto"/>
        <w:rPr>
          <w:rFonts w:eastAsia="Times New Roman" w:cstheme="minorHAnsi"/>
          <w:lang w:eastAsia="en-AU"/>
        </w:rPr>
      </w:pPr>
      <w:r w:rsidRPr="009C7BB0">
        <w:rPr>
          <w:rFonts w:eastAsia="Times New Roman" w:cstheme="minorHAnsi"/>
          <w:lang w:eastAsia="en-AU"/>
        </w:rPr>
        <w:t>The Authority’s accommodation is leased until 20</w:t>
      </w:r>
      <w:r w:rsidR="00C93576">
        <w:rPr>
          <w:rFonts w:eastAsia="Times New Roman" w:cstheme="minorHAnsi"/>
          <w:lang w:eastAsia="en-AU"/>
        </w:rPr>
        <w:t>30</w:t>
      </w:r>
      <w:r w:rsidRPr="009C7BB0">
        <w:rPr>
          <w:rFonts w:eastAsia="Times New Roman" w:cstheme="minorHAnsi"/>
          <w:lang w:eastAsia="en-AU"/>
        </w:rPr>
        <w:t xml:space="preserve"> and is </w:t>
      </w:r>
      <w:r>
        <w:rPr>
          <w:rFonts w:eastAsia="Times New Roman" w:cstheme="minorHAnsi"/>
          <w:lang w:eastAsia="en-AU"/>
        </w:rPr>
        <w:t xml:space="preserve">in </w:t>
      </w:r>
      <w:r w:rsidRPr="009C7BB0">
        <w:rPr>
          <w:rFonts w:eastAsia="Times New Roman" w:cstheme="minorHAnsi"/>
          <w:lang w:eastAsia="en-AU"/>
        </w:rPr>
        <w:t>a building shared with other government agencies. Building and facilities management is outsourced and centrally managed by a contractor. The office accommodation amenities include ACROD parking spaces, accessibility ramps, lifts to fit wheelchairs, designated parking</w:t>
      </w:r>
      <w:r>
        <w:rPr>
          <w:rFonts w:eastAsia="Times New Roman" w:cstheme="minorHAnsi"/>
          <w:lang w:eastAsia="en-AU"/>
        </w:rPr>
        <w:t xml:space="preserve"> for staff and visitors</w:t>
      </w:r>
      <w:r w:rsidRPr="009C7BB0">
        <w:rPr>
          <w:rFonts w:eastAsia="Times New Roman" w:cstheme="minorHAnsi"/>
          <w:lang w:eastAsia="en-AU"/>
        </w:rPr>
        <w:t>, ambulant (for people with disabilities who are not wheelchair bound), unisex or gender-based toilets.</w:t>
      </w:r>
      <w:r>
        <w:rPr>
          <w:rFonts w:eastAsia="Times New Roman" w:cstheme="minorHAnsi"/>
          <w:lang w:eastAsia="en-AU"/>
        </w:rPr>
        <w:t xml:space="preserve"> The premises are located close to transport facilities, opposite the Cannington Train Station.</w:t>
      </w:r>
    </w:p>
    <w:p w14:paraId="2C4767B7" w14:textId="4684509C" w:rsidR="003E70DC" w:rsidRPr="003E70DC" w:rsidRDefault="003E70DC" w:rsidP="003E70DC">
      <w:r w:rsidRPr="009C7BB0">
        <w:rPr>
          <w:rFonts w:eastAsia="Times New Roman" w:cstheme="minorHAnsi"/>
          <w:lang w:eastAsia="en-AU"/>
        </w:rPr>
        <w:t xml:space="preserve">DAIP Outcome 2 Buildings and Facilities is covered in the Department of Education’s </w:t>
      </w:r>
      <w:r w:rsidRPr="009C7BB0">
        <w:rPr>
          <w:rFonts w:eastAsia="Times New Roman" w:cstheme="minorHAnsi"/>
          <w:i/>
          <w:lang w:eastAsia="en-AU"/>
        </w:rPr>
        <w:t>Disability Access and Inclusion Plan 2018</w:t>
      </w:r>
      <w:r>
        <w:rPr>
          <w:rFonts w:eastAsia="Times New Roman" w:cstheme="minorHAnsi"/>
          <w:i/>
          <w:lang w:eastAsia="en-AU"/>
        </w:rPr>
        <w:t>–</w:t>
      </w:r>
      <w:r w:rsidRPr="009C7BB0">
        <w:rPr>
          <w:rFonts w:eastAsia="Times New Roman" w:cstheme="minorHAnsi"/>
          <w:i/>
          <w:lang w:eastAsia="en-AU"/>
        </w:rPr>
        <w:t>2023</w:t>
      </w:r>
      <w:r w:rsidRPr="009C7BB0">
        <w:rPr>
          <w:rFonts w:eastAsia="Times New Roman" w:cstheme="minorHAnsi"/>
          <w:lang w:eastAsia="en-AU"/>
        </w:rPr>
        <w:t>.</w:t>
      </w:r>
    </w:p>
    <w:tbl>
      <w:tblPr>
        <w:tblStyle w:val="ListTable3-Accent4"/>
        <w:tblW w:w="13846" w:type="dxa"/>
        <w:tblLook w:val="0020" w:firstRow="1" w:lastRow="0" w:firstColumn="0" w:lastColumn="0" w:noHBand="0" w:noVBand="0"/>
      </w:tblPr>
      <w:tblGrid>
        <w:gridCol w:w="8229"/>
        <w:gridCol w:w="2980"/>
        <w:gridCol w:w="2637"/>
      </w:tblGrid>
      <w:tr w:rsidR="00F96023" w:rsidRPr="00C4048A" w14:paraId="2FDAE0A1" w14:textId="77777777"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229" w:type="dxa"/>
            <w:tcBorders>
              <w:top w:val="single" w:sz="8" w:space="0" w:color="FFFFFF" w:themeColor="background1"/>
              <w:bottom w:val="nil"/>
              <w:right w:val="single" w:sz="8" w:space="0" w:color="FFFFFF" w:themeColor="background1"/>
            </w:tcBorders>
            <w:vAlign w:val="center"/>
          </w:tcPr>
          <w:p w14:paraId="3786DE2F" w14:textId="74B82BA3" w:rsidR="00F96023" w:rsidRPr="00C4048A" w:rsidRDefault="00F96023" w:rsidP="007939AB">
            <w:r w:rsidRPr="00C4048A">
              <w:t xml:space="preserve">People with disability have the same opportunities as other people to access the buildings and other facilities of </w:t>
            </w:r>
            <w:r w:rsidR="00C93576">
              <w:t>the Authority</w:t>
            </w:r>
            <w:r w:rsidRPr="00C4048A">
              <w:t>.</w:t>
            </w:r>
          </w:p>
        </w:tc>
        <w:tc>
          <w:tcPr>
            <w:tcW w:w="2980" w:type="dxa"/>
            <w:tcBorders>
              <w:top w:val="single" w:sz="8" w:space="0" w:color="FFFFFF" w:themeColor="background1"/>
              <w:left w:val="single" w:sz="8" w:space="0" w:color="FFFFFF" w:themeColor="background1"/>
              <w:bottom w:val="nil"/>
              <w:right w:val="single" w:sz="8" w:space="0" w:color="FFFFFF" w:themeColor="background1"/>
            </w:tcBorders>
            <w:vAlign w:val="center"/>
          </w:tcPr>
          <w:p w14:paraId="4C0682AC" w14:textId="77777777" w:rsidR="00F96023" w:rsidRPr="00C4048A" w:rsidRDefault="00F96023" w:rsidP="007939AB">
            <w:pPr>
              <w:cnfStyle w:val="100000000000" w:firstRow="1" w:lastRow="0" w:firstColumn="0" w:lastColumn="0" w:oddVBand="0" w:evenVBand="0" w:oddHBand="0" w:evenHBand="0" w:firstRowFirstColumn="0" w:firstRowLastColumn="0" w:lastRowFirstColumn="0" w:lastRowLastColumn="0"/>
            </w:pPr>
            <w:r w:rsidRPr="00C4048A">
              <w:t>Timeframe</w:t>
            </w:r>
          </w:p>
        </w:tc>
        <w:tc>
          <w:tcPr>
            <w:cnfStyle w:val="000010000000" w:firstRow="0" w:lastRow="0" w:firstColumn="0" w:lastColumn="0" w:oddVBand="1" w:evenVBand="0" w:oddHBand="0" w:evenHBand="0" w:firstRowFirstColumn="0" w:firstRowLastColumn="0" w:lastRowFirstColumn="0" w:lastRowLastColumn="0"/>
            <w:tcW w:w="2637" w:type="dxa"/>
            <w:tcBorders>
              <w:top w:val="single" w:sz="8" w:space="0" w:color="FFFFFF" w:themeColor="background1"/>
              <w:left w:val="single" w:sz="8" w:space="0" w:color="FFFFFF" w:themeColor="background1"/>
              <w:bottom w:val="nil"/>
            </w:tcBorders>
            <w:vAlign w:val="center"/>
          </w:tcPr>
          <w:p w14:paraId="30CFD2E8" w14:textId="77777777" w:rsidR="00F96023" w:rsidRPr="00C4048A" w:rsidRDefault="00F96023" w:rsidP="007939AB">
            <w:r w:rsidRPr="00C4048A">
              <w:t>Responsibility</w:t>
            </w:r>
          </w:p>
        </w:tc>
      </w:tr>
      <w:tr w:rsidR="00F96023" w:rsidRPr="00E13C3A" w14:paraId="499965EF" w14:textId="77777777" w:rsidTr="00C4048A">
        <w:trPr>
          <w:cnfStyle w:val="000000100000" w:firstRow="0" w:lastRow="0" w:firstColumn="0" w:lastColumn="0" w:oddVBand="0" w:evenVBand="0" w:oddHBand="1" w:evenHBand="0" w:firstRowFirstColumn="0" w:firstRowLastColumn="0" w:lastRowFirstColumn="0" w:lastRowLastColumn="0"/>
          <w:trHeight w:val="805"/>
        </w:trPr>
        <w:tc>
          <w:tcPr>
            <w:cnfStyle w:val="000010000000" w:firstRow="0" w:lastRow="0" w:firstColumn="0" w:lastColumn="0" w:oddVBand="1" w:evenVBand="0" w:oddHBand="0" w:evenHBand="0" w:firstRowFirstColumn="0" w:firstRowLastColumn="0" w:lastRowFirstColumn="0" w:lastRowLastColumn="0"/>
            <w:tcW w:w="8229" w:type="dxa"/>
          </w:tcPr>
          <w:p w14:paraId="3792D7E2" w14:textId="79ECE5A7" w:rsidR="00607DD8" w:rsidRPr="005215F8" w:rsidRDefault="00F96023" w:rsidP="005215F8">
            <w:pPr>
              <w:pStyle w:val="Appendix3"/>
            </w:pPr>
            <w:r w:rsidRPr="00E13C3A">
              <w:t xml:space="preserve">Ensure that </w:t>
            </w:r>
            <w:r w:rsidR="00521EC1">
              <w:t xml:space="preserve">office accommodation </w:t>
            </w:r>
            <w:r w:rsidRPr="00E13C3A">
              <w:t xml:space="preserve">leased by the Authority </w:t>
            </w:r>
            <w:r w:rsidR="00167EC6">
              <w:t>remains</w:t>
            </w:r>
            <w:r w:rsidR="00521EC1">
              <w:t xml:space="preserve"> a</w:t>
            </w:r>
            <w:r w:rsidRPr="00E13C3A">
              <w:t>ccessible</w:t>
            </w:r>
            <w:r w:rsidR="00405C2B">
              <w:t>.</w:t>
            </w:r>
            <w:r w:rsidR="00785947">
              <w:t xml:space="preserve"> </w:t>
            </w:r>
            <w:r w:rsidRPr="005215F8">
              <w:t>Should the Authority acc</w:t>
            </w:r>
            <w:r w:rsidR="00521EC1" w:rsidRPr="005215F8">
              <w:t>ommodation require relocation</w:t>
            </w:r>
            <w:r w:rsidR="003E70DC" w:rsidRPr="005215F8">
              <w:t>,</w:t>
            </w:r>
            <w:r w:rsidR="00521EC1" w:rsidRPr="005215F8">
              <w:t xml:space="preserve"> a</w:t>
            </w:r>
            <w:r w:rsidRPr="005215F8">
              <w:t xml:space="preserve">s part of new lease arrangement, </w:t>
            </w:r>
            <w:r w:rsidR="00C84C17" w:rsidRPr="005215F8">
              <w:t>ensure that an</w:t>
            </w:r>
            <w:r w:rsidRPr="005215F8">
              <w:t xml:space="preserve"> </w:t>
            </w:r>
            <w:r w:rsidR="00C84C17" w:rsidRPr="005215F8">
              <w:t xml:space="preserve">accessibility </w:t>
            </w:r>
            <w:r w:rsidRPr="005215F8">
              <w:t>audit</w:t>
            </w:r>
            <w:r w:rsidR="00C84C17" w:rsidRPr="005215F8">
              <w:t xml:space="preserve"> is undertaken</w:t>
            </w:r>
            <w:r w:rsidRPr="005215F8">
              <w:t xml:space="preserve"> </w:t>
            </w:r>
            <w:r w:rsidR="00C84C17" w:rsidRPr="005215F8">
              <w:t xml:space="preserve">of </w:t>
            </w:r>
            <w:r w:rsidRPr="005215F8">
              <w:t xml:space="preserve">the building and facilities </w:t>
            </w:r>
            <w:r w:rsidR="00C84C17" w:rsidRPr="005215F8">
              <w:t xml:space="preserve">to confirm </w:t>
            </w:r>
            <w:r w:rsidRPr="005215F8">
              <w:t>access</w:t>
            </w:r>
            <w:r w:rsidR="00C84C17" w:rsidRPr="005215F8">
              <w:t xml:space="preserve"> for </w:t>
            </w:r>
            <w:r w:rsidRPr="005215F8">
              <w:t>people with disability.</w:t>
            </w:r>
          </w:p>
        </w:tc>
        <w:tc>
          <w:tcPr>
            <w:tcW w:w="2980" w:type="dxa"/>
          </w:tcPr>
          <w:p w14:paraId="1770C768" w14:textId="59D30D03" w:rsidR="00F96023" w:rsidRPr="00E13C3A" w:rsidRDefault="003B730B" w:rsidP="00E13DA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7030A0"/>
                <w:lang w:eastAsia="en-AU"/>
              </w:rPr>
            </w:pPr>
            <w:r>
              <w:rPr>
                <w:rFonts w:eastAsia="Times New Roman" w:cstheme="minorHAnsi"/>
                <w:lang w:eastAsia="en-AU"/>
              </w:rPr>
              <w:t>June 2027</w:t>
            </w:r>
          </w:p>
        </w:tc>
        <w:tc>
          <w:tcPr>
            <w:cnfStyle w:val="000010000000" w:firstRow="0" w:lastRow="0" w:firstColumn="0" w:lastColumn="0" w:oddVBand="1" w:evenVBand="0" w:oddHBand="0" w:evenHBand="0" w:firstRowFirstColumn="0" w:firstRowLastColumn="0" w:lastRowFirstColumn="0" w:lastRowLastColumn="0"/>
            <w:tcW w:w="2637" w:type="dxa"/>
          </w:tcPr>
          <w:p w14:paraId="2A38ACAA" w14:textId="5A577BEB" w:rsidR="00F96023" w:rsidRDefault="00F96023" w:rsidP="00F96023">
            <w:pPr>
              <w:spacing w:after="120"/>
              <w:rPr>
                <w:rFonts w:eastAsia="Times New Roman" w:cstheme="minorHAnsi"/>
                <w:lang w:eastAsia="en-AU"/>
              </w:rPr>
            </w:pPr>
            <w:r>
              <w:rPr>
                <w:rFonts w:eastAsia="Times New Roman" w:cstheme="minorHAnsi"/>
                <w:lang w:eastAsia="en-AU"/>
              </w:rPr>
              <w:t>Manager</w:t>
            </w:r>
            <w:r w:rsidR="00861913">
              <w:rPr>
                <w:rFonts w:eastAsia="Times New Roman" w:cstheme="minorHAnsi"/>
                <w:lang w:eastAsia="en-AU"/>
              </w:rPr>
              <w:t xml:space="preserve"> –</w:t>
            </w:r>
            <w:r w:rsidR="00861913">
              <w:t xml:space="preserve"> </w:t>
            </w:r>
            <w:r>
              <w:rPr>
                <w:rFonts w:eastAsia="Times New Roman" w:cstheme="minorHAnsi"/>
                <w:lang w:eastAsia="en-AU"/>
              </w:rPr>
              <w:t>Finance</w:t>
            </w:r>
          </w:p>
          <w:p w14:paraId="5C9E8D23" w14:textId="47D9B79C" w:rsidR="00F96023" w:rsidRPr="00C4048A" w:rsidRDefault="00F96023" w:rsidP="00F96023">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5215F8">
              <w:t xml:space="preserve"> </w:t>
            </w:r>
            <w:r>
              <w:rPr>
                <w:rFonts w:eastAsia="Times New Roman" w:cstheme="minorHAnsi"/>
                <w:lang w:eastAsia="en-AU"/>
              </w:rPr>
              <w:t>Executive Services</w:t>
            </w:r>
          </w:p>
        </w:tc>
      </w:tr>
      <w:tr w:rsidR="003B730B" w:rsidRPr="00E13C3A" w14:paraId="3F423DC2" w14:textId="77777777" w:rsidTr="007939AB">
        <w:trPr>
          <w:trHeight w:val="805"/>
        </w:trPr>
        <w:tc>
          <w:tcPr>
            <w:cnfStyle w:val="000010000000" w:firstRow="0" w:lastRow="0" w:firstColumn="0" w:lastColumn="0" w:oddVBand="1" w:evenVBand="0" w:oddHBand="0" w:evenHBand="0" w:firstRowFirstColumn="0" w:firstRowLastColumn="0" w:lastRowFirstColumn="0" w:lastRowLastColumn="0"/>
            <w:tcW w:w="8229" w:type="dxa"/>
            <w:tcBorders>
              <w:bottom w:val="single" w:sz="4" w:space="0" w:color="9983B5" w:themeColor="accent4"/>
            </w:tcBorders>
          </w:tcPr>
          <w:p w14:paraId="0040BA6D" w14:textId="5B4CC994" w:rsidR="003B730B" w:rsidRDefault="003B730B" w:rsidP="005215F8">
            <w:pPr>
              <w:pStyle w:val="Appendix3"/>
            </w:pPr>
            <w:r>
              <w:t>Explore improvements to the current office accommodation with Building Management, targeting signage (to include Braille), soft</w:t>
            </w:r>
            <w:r w:rsidR="00591A24">
              <w:t>-</w:t>
            </w:r>
            <w:r>
              <w:t xml:space="preserve">close door options, and </w:t>
            </w:r>
            <w:r w:rsidR="00AC3553">
              <w:t xml:space="preserve">improved </w:t>
            </w:r>
            <w:r>
              <w:t>access for wheelchairs.</w:t>
            </w:r>
          </w:p>
        </w:tc>
        <w:tc>
          <w:tcPr>
            <w:tcW w:w="2980" w:type="dxa"/>
            <w:tcBorders>
              <w:bottom w:val="single" w:sz="4" w:space="0" w:color="9983B5" w:themeColor="accent4"/>
            </w:tcBorders>
          </w:tcPr>
          <w:p w14:paraId="4E3CA0D8" w14:textId="068F4761" w:rsidR="003B730B" w:rsidRPr="00F96023" w:rsidRDefault="003B730B" w:rsidP="00E13DA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June 2023</w:t>
            </w:r>
          </w:p>
        </w:tc>
        <w:tc>
          <w:tcPr>
            <w:cnfStyle w:val="000010000000" w:firstRow="0" w:lastRow="0" w:firstColumn="0" w:lastColumn="0" w:oddVBand="1" w:evenVBand="0" w:oddHBand="0" w:evenHBand="0" w:firstRowFirstColumn="0" w:firstRowLastColumn="0" w:lastRowFirstColumn="0" w:lastRowLastColumn="0"/>
            <w:tcW w:w="2637" w:type="dxa"/>
            <w:tcBorders>
              <w:bottom w:val="single" w:sz="4" w:space="0" w:color="9983B5" w:themeColor="accent4"/>
            </w:tcBorders>
          </w:tcPr>
          <w:p w14:paraId="686243C7" w14:textId="3A30E087" w:rsidR="003B730B" w:rsidRDefault="003B730B" w:rsidP="003B730B">
            <w:pPr>
              <w:spacing w:after="120"/>
              <w:rPr>
                <w:rFonts w:eastAsia="Times New Roman" w:cstheme="minorHAnsi"/>
                <w:lang w:eastAsia="en-AU"/>
              </w:rPr>
            </w:pPr>
            <w:r>
              <w:rPr>
                <w:rFonts w:eastAsia="Times New Roman" w:cstheme="minorHAnsi"/>
                <w:lang w:eastAsia="en-AU"/>
              </w:rPr>
              <w:t>Manager</w:t>
            </w:r>
            <w:r w:rsidR="00861913">
              <w:rPr>
                <w:rFonts w:eastAsia="Times New Roman" w:cstheme="minorHAnsi"/>
                <w:lang w:eastAsia="en-AU"/>
              </w:rPr>
              <w:t xml:space="preserve"> –</w:t>
            </w:r>
            <w:r>
              <w:rPr>
                <w:rFonts w:eastAsia="Times New Roman" w:cstheme="minorHAnsi"/>
                <w:lang w:eastAsia="en-AU"/>
              </w:rPr>
              <w:t xml:space="preserve"> Finance</w:t>
            </w:r>
          </w:p>
          <w:p w14:paraId="06F34F9F" w14:textId="05BAC23C" w:rsidR="003B730B" w:rsidRDefault="003B730B" w:rsidP="00F96023">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5215F8">
              <w:t xml:space="preserve"> </w:t>
            </w:r>
            <w:r>
              <w:rPr>
                <w:rFonts w:eastAsia="Times New Roman" w:cstheme="minorHAnsi"/>
                <w:lang w:eastAsia="en-AU"/>
              </w:rPr>
              <w:t>Executive Services</w:t>
            </w:r>
          </w:p>
        </w:tc>
      </w:tr>
      <w:tr w:rsidR="00F96023" w:rsidRPr="00E13C3A" w14:paraId="1A850283" w14:textId="77777777" w:rsidTr="007939AB">
        <w:trPr>
          <w:cnfStyle w:val="000000100000" w:firstRow="0" w:lastRow="0" w:firstColumn="0" w:lastColumn="0" w:oddVBand="0" w:evenVBand="0" w:oddHBand="1" w:evenHBand="0" w:firstRowFirstColumn="0" w:firstRowLastColumn="0" w:lastRowFirstColumn="0" w:lastRowLastColumn="0"/>
          <w:trHeight w:val="805"/>
        </w:trPr>
        <w:tc>
          <w:tcPr>
            <w:cnfStyle w:val="000010000000" w:firstRow="0" w:lastRow="0" w:firstColumn="0" w:lastColumn="0" w:oddVBand="1" w:evenVBand="0" w:oddHBand="0" w:evenHBand="0" w:firstRowFirstColumn="0" w:firstRowLastColumn="0" w:lastRowFirstColumn="0" w:lastRowLastColumn="0"/>
            <w:tcW w:w="8229" w:type="dxa"/>
            <w:tcBorders>
              <w:bottom w:val="single" w:sz="8" w:space="0" w:color="9983B5" w:themeColor="accent4"/>
            </w:tcBorders>
          </w:tcPr>
          <w:p w14:paraId="74350DA8" w14:textId="174C20C9" w:rsidR="009F65D9" w:rsidRDefault="00405C2B" w:rsidP="005215F8">
            <w:pPr>
              <w:pStyle w:val="Appendix3"/>
            </w:pPr>
            <w:r>
              <w:t xml:space="preserve">Provide </w:t>
            </w:r>
            <w:r w:rsidRPr="00E13C3A">
              <w:t>training</w:t>
            </w:r>
            <w:r>
              <w:t xml:space="preserve"> to improve staff awareness </w:t>
            </w:r>
            <w:r w:rsidR="00AC3553">
              <w:t xml:space="preserve">of communication access </w:t>
            </w:r>
            <w:r>
              <w:t>to e</w:t>
            </w:r>
            <w:r w:rsidR="00F96023" w:rsidRPr="00E13C3A">
              <w:t>nsure that Authority functions are accessible, with adequate facilities and signage and close to public transport</w:t>
            </w:r>
            <w:r w:rsidR="003B730B">
              <w:t xml:space="preserve"> (related to 1.1 above).</w:t>
            </w:r>
          </w:p>
        </w:tc>
        <w:tc>
          <w:tcPr>
            <w:tcW w:w="2980" w:type="dxa"/>
            <w:tcBorders>
              <w:bottom w:val="single" w:sz="8" w:space="0" w:color="9983B5" w:themeColor="accent4"/>
            </w:tcBorders>
          </w:tcPr>
          <w:p w14:paraId="7CF9A652" w14:textId="3A45ED5F" w:rsidR="00405C2B" w:rsidRDefault="00405C2B" w:rsidP="00E13DA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June 2023</w:t>
            </w:r>
          </w:p>
          <w:p w14:paraId="3259E5C9" w14:textId="3DD53475" w:rsidR="00F96023" w:rsidRPr="00F96023" w:rsidRDefault="00F96023" w:rsidP="00E13DA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c>
          <w:tcPr>
            <w:cnfStyle w:val="000010000000" w:firstRow="0" w:lastRow="0" w:firstColumn="0" w:lastColumn="0" w:oddVBand="1" w:evenVBand="0" w:oddHBand="0" w:evenHBand="0" w:firstRowFirstColumn="0" w:firstRowLastColumn="0" w:lastRowFirstColumn="0" w:lastRowLastColumn="0"/>
            <w:tcW w:w="2637" w:type="dxa"/>
            <w:tcBorders>
              <w:bottom w:val="single" w:sz="8" w:space="0" w:color="9983B5" w:themeColor="accent4"/>
            </w:tcBorders>
          </w:tcPr>
          <w:p w14:paraId="6B94CBA1" w14:textId="452E8409" w:rsidR="00F96023" w:rsidRDefault="00F96023" w:rsidP="00F96023">
            <w:pPr>
              <w:spacing w:after="120"/>
              <w:rPr>
                <w:rFonts w:eastAsia="Times New Roman" w:cstheme="minorHAnsi"/>
                <w:lang w:eastAsia="en-AU"/>
              </w:rPr>
            </w:pPr>
            <w:r>
              <w:rPr>
                <w:rFonts w:eastAsia="Times New Roman" w:cstheme="minorHAnsi"/>
                <w:lang w:eastAsia="en-AU"/>
              </w:rPr>
              <w:t>Team Managers or delegates</w:t>
            </w:r>
          </w:p>
          <w:p w14:paraId="3DD11E52" w14:textId="73D90292" w:rsidR="00F96023" w:rsidRDefault="00607DD8" w:rsidP="00F96023">
            <w:pPr>
              <w:spacing w:after="120"/>
              <w:rPr>
                <w:rFonts w:eastAsia="Times New Roman" w:cstheme="minorHAnsi"/>
                <w:lang w:eastAsia="en-AU"/>
              </w:rPr>
            </w:pPr>
            <w:r>
              <w:rPr>
                <w:rFonts w:eastAsia="Times New Roman" w:cstheme="minorHAnsi"/>
                <w:lang w:eastAsia="en-AU"/>
              </w:rPr>
              <w:t>Event Organiser</w:t>
            </w:r>
          </w:p>
        </w:tc>
      </w:tr>
    </w:tbl>
    <w:p w14:paraId="1C4D3E5F" w14:textId="77777777" w:rsidR="006E0ACE" w:rsidRDefault="006E0ACE" w:rsidP="00785947">
      <w:pPr>
        <w:rPr>
          <w:lang w:eastAsia="en-AU"/>
        </w:rPr>
      </w:pPr>
      <w:r>
        <w:rPr>
          <w:lang w:eastAsia="en-AU"/>
        </w:rPr>
        <w:br w:type="page"/>
      </w:r>
    </w:p>
    <w:p w14:paraId="77633E45" w14:textId="03E18AE9" w:rsidR="00695A1B" w:rsidRPr="00E13C3A" w:rsidRDefault="00BE3792" w:rsidP="006E0ACE">
      <w:pPr>
        <w:pStyle w:val="AppendixH2"/>
      </w:pPr>
      <w:r w:rsidRPr="00E13C3A">
        <w:lastRenderedPageBreak/>
        <w:t>Accessible Information</w:t>
      </w:r>
    </w:p>
    <w:tbl>
      <w:tblPr>
        <w:tblStyle w:val="ListTable3-Accent4"/>
        <w:tblW w:w="13862" w:type="dxa"/>
        <w:tblLook w:val="0020" w:firstRow="1" w:lastRow="0" w:firstColumn="0" w:lastColumn="0" w:noHBand="0" w:noVBand="0"/>
      </w:tblPr>
      <w:tblGrid>
        <w:gridCol w:w="8260"/>
        <w:gridCol w:w="3106"/>
        <w:gridCol w:w="2496"/>
      </w:tblGrid>
      <w:tr w:rsidR="006A27C2" w:rsidRPr="007939AB" w14:paraId="2A3E0FAA" w14:textId="2D2897B5"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260" w:type="dxa"/>
            <w:tcBorders>
              <w:top w:val="single" w:sz="8" w:space="0" w:color="FFFFFF" w:themeColor="background1"/>
              <w:bottom w:val="single" w:sz="4" w:space="0" w:color="9983B5" w:themeColor="accent4"/>
              <w:right w:val="single" w:sz="8" w:space="0" w:color="FFFFFF" w:themeColor="background1"/>
            </w:tcBorders>
            <w:vAlign w:val="center"/>
          </w:tcPr>
          <w:p w14:paraId="3558CDAF" w14:textId="3D23E3AF" w:rsidR="006A27C2" w:rsidRPr="007939AB" w:rsidRDefault="006A27C2" w:rsidP="007939AB">
            <w:r w:rsidRPr="007939AB">
              <w:t xml:space="preserve">People with disability receive information from </w:t>
            </w:r>
            <w:r w:rsidR="00C93576">
              <w:t>the Authority</w:t>
            </w:r>
            <w:r w:rsidRPr="007939AB">
              <w:t xml:space="preserve"> in a format that will enable them to access the information as readily as other people are able to access it</w:t>
            </w:r>
          </w:p>
        </w:tc>
        <w:tc>
          <w:tcPr>
            <w:tcW w:w="3106" w:type="dxa"/>
            <w:tcBorders>
              <w:top w:val="single" w:sz="8" w:space="0" w:color="FFFFFF" w:themeColor="background1"/>
              <w:left w:val="single" w:sz="8" w:space="0" w:color="FFFFFF" w:themeColor="background1"/>
              <w:bottom w:val="single" w:sz="4" w:space="0" w:color="9983B5" w:themeColor="accent4"/>
              <w:right w:val="single" w:sz="8" w:space="0" w:color="FFFFFF" w:themeColor="background1"/>
            </w:tcBorders>
            <w:vAlign w:val="center"/>
          </w:tcPr>
          <w:p w14:paraId="2AD78CB7" w14:textId="478AEC8B" w:rsidR="006A27C2" w:rsidRPr="007939AB" w:rsidRDefault="00275B4C" w:rsidP="007939AB">
            <w:pPr>
              <w:cnfStyle w:val="100000000000" w:firstRow="1" w:lastRow="0" w:firstColumn="0" w:lastColumn="0" w:oddVBand="0" w:evenVBand="0" w:oddHBand="0" w:evenHBand="0" w:firstRowFirstColumn="0" w:firstRowLastColumn="0" w:lastRowFirstColumn="0" w:lastRowLastColumn="0"/>
            </w:pPr>
            <w:r w:rsidRPr="007939AB">
              <w:t>Timeframe</w:t>
            </w:r>
          </w:p>
        </w:tc>
        <w:tc>
          <w:tcPr>
            <w:cnfStyle w:val="000010000000" w:firstRow="0" w:lastRow="0" w:firstColumn="0" w:lastColumn="0" w:oddVBand="1" w:evenVBand="0" w:oddHBand="0" w:evenHBand="0" w:firstRowFirstColumn="0" w:firstRowLastColumn="0" w:lastRowFirstColumn="0" w:lastRowLastColumn="0"/>
            <w:tcW w:w="2496" w:type="dxa"/>
            <w:tcBorders>
              <w:top w:val="single" w:sz="8" w:space="0" w:color="FFFFFF" w:themeColor="background1"/>
              <w:left w:val="single" w:sz="8" w:space="0" w:color="FFFFFF" w:themeColor="background1"/>
              <w:bottom w:val="single" w:sz="4" w:space="0" w:color="9983B5" w:themeColor="accent4"/>
            </w:tcBorders>
            <w:vAlign w:val="center"/>
          </w:tcPr>
          <w:p w14:paraId="0950D8CB" w14:textId="7016703D" w:rsidR="006A27C2" w:rsidRPr="007939AB" w:rsidRDefault="006A27C2" w:rsidP="007939AB">
            <w:r w:rsidRPr="007939AB">
              <w:t>Responsibility</w:t>
            </w:r>
          </w:p>
        </w:tc>
      </w:tr>
      <w:tr w:rsidR="006A27C2" w:rsidRPr="00E13C3A" w14:paraId="208FF4B7" w14:textId="7D9995A5"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60" w:type="dxa"/>
          </w:tcPr>
          <w:p w14:paraId="29EBB5AA" w14:textId="295915E7" w:rsidR="006A275B" w:rsidRPr="00E13C3A" w:rsidRDefault="00BE074B" w:rsidP="005215F8">
            <w:pPr>
              <w:pStyle w:val="Appendix3"/>
            </w:pPr>
            <w:r>
              <w:t>P</w:t>
            </w:r>
            <w:r w:rsidR="006A27C2" w:rsidRPr="00E13C3A">
              <w:t>rovide Authority information and documentation in an appropriate format</w:t>
            </w:r>
            <w:r w:rsidR="00AF6B15">
              <w:t>,</w:t>
            </w:r>
            <w:r w:rsidR="006A27C2" w:rsidRPr="00E13C3A">
              <w:t xml:space="preserve"> using clear and concise language</w:t>
            </w:r>
            <w:r w:rsidR="00675EED">
              <w:t xml:space="preserve">, including </w:t>
            </w:r>
            <w:r w:rsidR="00607DD8">
              <w:t>plain</w:t>
            </w:r>
            <w:r w:rsidR="00675EED">
              <w:t xml:space="preserve"> </w:t>
            </w:r>
            <w:r w:rsidR="00861913">
              <w:t>language</w:t>
            </w:r>
            <w:r w:rsidR="00675EED">
              <w:t xml:space="preserve"> and </w:t>
            </w:r>
            <w:r w:rsidR="00E10894">
              <w:t xml:space="preserve">key </w:t>
            </w:r>
            <w:r w:rsidR="00675EED">
              <w:t>documents translated in languages other than English.</w:t>
            </w:r>
            <w:r w:rsidR="003B730B">
              <w:t xml:space="preserve"> </w:t>
            </w:r>
          </w:p>
        </w:tc>
        <w:tc>
          <w:tcPr>
            <w:tcW w:w="3106" w:type="dxa"/>
          </w:tcPr>
          <w:p w14:paraId="52A50A7B" w14:textId="2979C75E" w:rsidR="006A27C2" w:rsidRPr="00E13C3A" w:rsidRDefault="00913E33" w:rsidP="006A27C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Ongoing </w:t>
            </w:r>
          </w:p>
        </w:tc>
        <w:tc>
          <w:tcPr>
            <w:cnfStyle w:val="000010000000" w:firstRow="0" w:lastRow="0" w:firstColumn="0" w:lastColumn="0" w:oddVBand="1" w:evenVBand="0" w:oddHBand="0" w:evenHBand="0" w:firstRowFirstColumn="0" w:firstRowLastColumn="0" w:lastRowFirstColumn="0" w:lastRowLastColumn="0"/>
            <w:tcW w:w="2496" w:type="dxa"/>
          </w:tcPr>
          <w:p w14:paraId="080EDA19" w14:textId="35D7C4BE" w:rsidR="006A27C2" w:rsidRDefault="006A27C2" w:rsidP="003D776B">
            <w:pPr>
              <w:spacing w:after="120"/>
              <w:rPr>
                <w:rFonts w:eastAsia="Times New Roman" w:cstheme="minorHAnsi"/>
                <w:lang w:eastAsia="en-AU"/>
              </w:rPr>
            </w:pPr>
            <w:r>
              <w:rPr>
                <w:rFonts w:eastAsia="Times New Roman" w:cstheme="minorHAnsi"/>
                <w:lang w:eastAsia="en-AU"/>
              </w:rPr>
              <w:t xml:space="preserve">Manager </w:t>
            </w:r>
            <w:r w:rsidR="00861913">
              <w:rPr>
                <w:rFonts w:eastAsia="Times New Roman" w:cstheme="minorHAnsi"/>
                <w:lang w:eastAsia="en-AU"/>
              </w:rPr>
              <w:t>–</w:t>
            </w:r>
            <w:r w:rsidR="00861913">
              <w:t xml:space="preserve"> </w:t>
            </w:r>
            <w:r>
              <w:rPr>
                <w:rFonts w:eastAsia="Times New Roman" w:cstheme="minorHAnsi"/>
                <w:lang w:eastAsia="en-AU"/>
              </w:rPr>
              <w:t>Publications and Communication</w:t>
            </w:r>
          </w:p>
        </w:tc>
      </w:tr>
      <w:tr w:rsidR="00D625E7" w:rsidRPr="00E13C3A" w14:paraId="3D321BCB" w14:textId="3CD1AE00" w:rsidTr="007939AB">
        <w:tc>
          <w:tcPr>
            <w:cnfStyle w:val="000010000000" w:firstRow="0" w:lastRow="0" w:firstColumn="0" w:lastColumn="0" w:oddVBand="1" w:evenVBand="0" w:oddHBand="0" w:evenHBand="0" w:firstRowFirstColumn="0" w:firstRowLastColumn="0" w:lastRowFirstColumn="0" w:lastRowLastColumn="0"/>
            <w:tcW w:w="8260" w:type="dxa"/>
          </w:tcPr>
          <w:p w14:paraId="4DABD6C3" w14:textId="46BF4943" w:rsidR="00D625E7" w:rsidRPr="00E13C3A" w:rsidRDefault="00BE074B" w:rsidP="005215F8">
            <w:pPr>
              <w:pStyle w:val="Appendix3"/>
            </w:pPr>
            <w:r>
              <w:t>E</w:t>
            </w:r>
            <w:r w:rsidR="00D625E7" w:rsidRPr="00E13C3A">
              <w:t>nsure</w:t>
            </w:r>
            <w:r w:rsidR="006A275B">
              <w:t xml:space="preserve"> the </w:t>
            </w:r>
            <w:r w:rsidR="006A275B" w:rsidRPr="00E13C3A">
              <w:t xml:space="preserve">Authority Style </w:t>
            </w:r>
            <w:r w:rsidR="00AF6B15">
              <w:t>G</w:t>
            </w:r>
            <w:r w:rsidR="006A275B" w:rsidRPr="00E13C3A">
              <w:t xml:space="preserve">uide </w:t>
            </w:r>
            <w:r w:rsidR="006A275B">
              <w:t xml:space="preserve">is </w:t>
            </w:r>
            <w:r>
              <w:t>maintained</w:t>
            </w:r>
            <w:r w:rsidR="006A275B">
              <w:t xml:space="preserve"> and </w:t>
            </w:r>
            <w:r w:rsidR="006A275B" w:rsidRPr="00E13C3A">
              <w:t xml:space="preserve">published on the </w:t>
            </w:r>
            <w:r w:rsidR="00B52AF2">
              <w:t xml:space="preserve">Authority </w:t>
            </w:r>
            <w:r w:rsidR="006A275B">
              <w:t>i</w:t>
            </w:r>
            <w:r w:rsidR="006A275B" w:rsidRPr="00E13C3A">
              <w:t>ntranet</w:t>
            </w:r>
            <w:r w:rsidR="006A275B">
              <w:t xml:space="preserve"> to enable staff to produce </w:t>
            </w:r>
            <w:r w:rsidR="003B730B">
              <w:t xml:space="preserve">documents </w:t>
            </w:r>
            <w:r w:rsidR="006A275B">
              <w:t xml:space="preserve">that </w:t>
            </w:r>
            <w:r w:rsidR="003B730B">
              <w:t>are of high standard</w:t>
            </w:r>
            <w:r w:rsidR="006A275B">
              <w:t xml:space="preserve"> and </w:t>
            </w:r>
            <w:r>
              <w:t xml:space="preserve">that </w:t>
            </w:r>
            <w:r w:rsidR="006A275B">
              <w:t xml:space="preserve">meet </w:t>
            </w:r>
            <w:r w:rsidR="006A275B" w:rsidRPr="00E13C3A">
              <w:t>accessibility standards</w:t>
            </w:r>
            <w:r w:rsidR="00B52AF2">
              <w:t>;</w:t>
            </w:r>
            <w:r w:rsidR="00C84C17">
              <w:t xml:space="preserve"> e.g., </w:t>
            </w:r>
            <w:r w:rsidR="00C84C17" w:rsidRPr="00C84C17">
              <w:t>Web Content Accessibility Guidelines (WCAG)</w:t>
            </w:r>
            <w:r w:rsidR="005215F8">
              <w:t xml:space="preserve"> </w:t>
            </w:r>
            <w:r w:rsidR="00C84C17" w:rsidRPr="00C84C17">
              <w:t xml:space="preserve">or the </w:t>
            </w:r>
            <w:hyperlink r:id="rId24" w:history="1">
              <w:r w:rsidR="00C84C17" w:rsidRPr="005215F8">
                <w:rPr>
                  <w:rStyle w:val="Hyperlink"/>
                </w:rPr>
                <w:t>WA Government’s Digital Services Policy Framework</w:t>
              </w:r>
            </w:hyperlink>
            <w:r w:rsidR="00DD043B" w:rsidRPr="005215F8">
              <w:t>.</w:t>
            </w:r>
          </w:p>
        </w:tc>
        <w:tc>
          <w:tcPr>
            <w:tcW w:w="3106" w:type="dxa"/>
          </w:tcPr>
          <w:p w14:paraId="545ADF37" w14:textId="540CC003" w:rsidR="00D625E7" w:rsidRPr="00E13C3A" w:rsidRDefault="00D625E7" w:rsidP="00D625E7">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496" w:type="dxa"/>
          </w:tcPr>
          <w:p w14:paraId="082F0A4F" w14:textId="60A23CA8" w:rsidR="00D625E7" w:rsidRDefault="00D625E7" w:rsidP="00D625E7">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Digital Strategy</w:t>
            </w:r>
            <w:r w:rsidR="00861913">
              <w:rPr>
                <w:rFonts w:eastAsia="Times New Roman" w:cstheme="minorHAnsi"/>
                <w:lang w:eastAsia="en-AU"/>
              </w:rPr>
              <w:t xml:space="preserve"> and Delivery</w:t>
            </w:r>
          </w:p>
          <w:p w14:paraId="530D0353" w14:textId="4FAD41CB" w:rsidR="00D625E7" w:rsidRPr="00E13C3A" w:rsidRDefault="00D625E7" w:rsidP="00D625E7">
            <w:pPr>
              <w:spacing w:after="120"/>
              <w:rPr>
                <w:rFonts w:eastAsia="Times New Roman" w:cstheme="minorHAnsi"/>
                <w:lang w:eastAsia="en-AU"/>
              </w:rPr>
            </w:pPr>
            <w:r>
              <w:rPr>
                <w:rFonts w:eastAsia="Times New Roman" w:cstheme="minorHAnsi"/>
                <w:lang w:eastAsia="en-AU"/>
              </w:rPr>
              <w:t>Manager</w:t>
            </w:r>
            <w:r w:rsidR="00861913">
              <w:rPr>
                <w:rFonts w:eastAsia="Times New Roman" w:cstheme="minorHAnsi"/>
                <w:lang w:eastAsia="en-AU"/>
              </w:rPr>
              <w:t xml:space="preserve"> –</w:t>
            </w:r>
            <w:r w:rsidR="00861913">
              <w:t xml:space="preserve"> </w:t>
            </w:r>
            <w:r>
              <w:rPr>
                <w:rFonts w:eastAsia="Times New Roman" w:cstheme="minorHAnsi"/>
                <w:lang w:eastAsia="en-AU"/>
              </w:rPr>
              <w:t>Publications and Communication</w:t>
            </w:r>
          </w:p>
        </w:tc>
      </w:tr>
      <w:tr w:rsidR="00D625E7" w:rsidRPr="00E13C3A" w14:paraId="0871A1F2" w14:textId="35457260"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60" w:type="dxa"/>
          </w:tcPr>
          <w:p w14:paraId="46611A48" w14:textId="74EFEE33" w:rsidR="00D625E7" w:rsidRPr="00E13C3A" w:rsidRDefault="00D625E7" w:rsidP="005215F8">
            <w:pPr>
              <w:pStyle w:val="Appendix3"/>
            </w:pPr>
            <w:r w:rsidRPr="00E13C3A">
              <w:t xml:space="preserve">Improve staff awareness of accessible information needs and how to obtain information in other </w:t>
            </w:r>
            <w:r w:rsidR="00405C2B" w:rsidRPr="00E13C3A">
              <w:t>formats</w:t>
            </w:r>
            <w:r w:rsidR="00405C2B">
              <w:t>,</w:t>
            </w:r>
            <w:r>
              <w:t xml:space="preserve"> </w:t>
            </w:r>
            <w:r w:rsidR="00B55C8C">
              <w:t>i.e.,</w:t>
            </w:r>
            <w:r>
              <w:t xml:space="preserve"> promote services including </w:t>
            </w:r>
            <w:r w:rsidR="00DD043B">
              <w:t>i</w:t>
            </w:r>
            <w:r w:rsidRPr="00E13C3A">
              <w:t xml:space="preserve">nterpretation and translation </w:t>
            </w:r>
            <w:r>
              <w:t>services, Auslan.</w:t>
            </w:r>
            <w:r w:rsidR="00C02BE2">
              <w:t xml:space="preserve"> </w:t>
            </w:r>
          </w:p>
        </w:tc>
        <w:tc>
          <w:tcPr>
            <w:tcW w:w="3106" w:type="dxa"/>
          </w:tcPr>
          <w:p w14:paraId="4B11E456" w14:textId="70DEFA03" w:rsidR="00D625E7" w:rsidRPr="00E13C3A" w:rsidRDefault="00E10894" w:rsidP="00D625E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December 2023</w:t>
            </w:r>
          </w:p>
        </w:tc>
        <w:tc>
          <w:tcPr>
            <w:cnfStyle w:val="000010000000" w:firstRow="0" w:lastRow="0" w:firstColumn="0" w:lastColumn="0" w:oddVBand="1" w:evenVBand="0" w:oddHBand="0" w:evenHBand="0" w:firstRowFirstColumn="0" w:firstRowLastColumn="0" w:lastRowFirstColumn="0" w:lastRowLastColumn="0"/>
            <w:tcW w:w="2496" w:type="dxa"/>
          </w:tcPr>
          <w:p w14:paraId="4441A3F1" w14:textId="42D42BD4" w:rsidR="00D625E7" w:rsidRPr="00E13C3A" w:rsidRDefault="00D625E7" w:rsidP="00D625E7">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 xml:space="preserve">Executive Services </w:t>
            </w:r>
          </w:p>
        </w:tc>
      </w:tr>
      <w:tr w:rsidR="00331D48" w:rsidRPr="00E13C3A" w14:paraId="48A7B10C" w14:textId="77777777" w:rsidTr="007939AB">
        <w:tc>
          <w:tcPr>
            <w:cnfStyle w:val="000010000000" w:firstRow="0" w:lastRow="0" w:firstColumn="0" w:lastColumn="0" w:oddVBand="1" w:evenVBand="0" w:oddHBand="0" w:evenHBand="0" w:firstRowFirstColumn="0" w:firstRowLastColumn="0" w:lastRowFirstColumn="0" w:lastRowLastColumn="0"/>
            <w:tcW w:w="8260" w:type="dxa"/>
            <w:tcBorders>
              <w:top w:val="single" w:sz="4" w:space="0" w:color="9983B5" w:themeColor="accent4"/>
              <w:bottom w:val="single" w:sz="8" w:space="0" w:color="9983B5" w:themeColor="accent4"/>
            </w:tcBorders>
          </w:tcPr>
          <w:p w14:paraId="3806FC65" w14:textId="70AB7FD4" w:rsidR="00331D48" w:rsidRPr="00E13C3A" w:rsidRDefault="00331D48" w:rsidP="005215F8">
            <w:pPr>
              <w:pStyle w:val="Appendix3"/>
            </w:pPr>
            <w:r>
              <w:t>Explore and implement use of text</w:t>
            </w:r>
            <w:r w:rsidR="00B83B66">
              <w:t>-</w:t>
            </w:r>
            <w:r>
              <w:t>to</w:t>
            </w:r>
            <w:r w:rsidR="00B83B66">
              <w:t>-</w:t>
            </w:r>
            <w:r>
              <w:t>speech</w:t>
            </w:r>
            <w:r w:rsidR="00995A32">
              <w:t xml:space="preserve"> technology </w:t>
            </w:r>
            <w:r w:rsidR="002A540D">
              <w:t>on</w:t>
            </w:r>
            <w:r w:rsidR="00995A32">
              <w:t xml:space="preserve"> the Authority website to make pages accessible </w:t>
            </w:r>
            <w:r>
              <w:t xml:space="preserve">to support people </w:t>
            </w:r>
            <w:r w:rsidR="00995A32">
              <w:t xml:space="preserve">with a disability or impairment that requires the use of </w:t>
            </w:r>
            <w:r>
              <w:t>assistive technology</w:t>
            </w:r>
            <w:r w:rsidR="00995A32">
              <w:t>.</w:t>
            </w:r>
          </w:p>
        </w:tc>
        <w:tc>
          <w:tcPr>
            <w:tcW w:w="3106" w:type="dxa"/>
            <w:tcBorders>
              <w:top w:val="single" w:sz="4" w:space="0" w:color="9983B5" w:themeColor="accent4"/>
              <w:bottom w:val="single" w:sz="8" w:space="0" w:color="9983B5" w:themeColor="accent4"/>
            </w:tcBorders>
          </w:tcPr>
          <w:p w14:paraId="7F0D6EE7" w14:textId="036C3287" w:rsidR="00331D48" w:rsidRDefault="00331D48" w:rsidP="00D625E7">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December 202</w:t>
            </w:r>
            <w:r w:rsidR="00995A32">
              <w:rPr>
                <w:rFonts w:eastAsia="Times New Roman" w:cstheme="minorHAnsi"/>
                <w:lang w:eastAsia="en-AU"/>
              </w:rPr>
              <w:t>4</w:t>
            </w:r>
          </w:p>
        </w:tc>
        <w:tc>
          <w:tcPr>
            <w:cnfStyle w:val="000010000000" w:firstRow="0" w:lastRow="0" w:firstColumn="0" w:lastColumn="0" w:oddVBand="1" w:evenVBand="0" w:oddHBand="0" w:evenHBand="0" w:firstRowFirstColumn="0" w:firstRowLastColumn="0" w:lastRowFirstColumn="0" w:lastRowLastColumn="0"/>
            <w:tcW w:w="2496" w:type="dxa"/>
            <w:tcBorders>
              <w:top w:val="single" w:sz="4" w:space="0" w:color="9983B5" w:themeColor="accent4"/>
              <w:bottom w:val="single" w:sz="8" w:space="0" w:color="9983B5" w:themeColor="accent4"/>
            </w:tcBorders>
          </w:tcPr>
          <w:p w14:paraId="0E27D01D" w14:textId="11B6F964" w:rsidR="00331D48" w:rsidRDefault="00331D48" w:rsidP="00331D48">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5215F8">
              <w:t xml:space="preserve"> </w:t>
            </w:r>
            <w:r>
              <w:rPr>
                <w:rFonts w:eastAsia="Times New Roman" w:cstheme="minorHAnsi"/>
                <w:lang w:eastAsia="en-AU"/>
              </w:rPr>
              <w:t>Digital Strategy</w:t>
            </w:r>
            <w:r w:rsidR="00861913">
              <w:rPr>
                <w:rFonts w:eastAsia="Times New Roman" w:cstheme="minorHAnsi"/>
                <w:lang w:eastAsia="en-AU"/>
              </w:rPr>
              <w:t xml:space="preserve"> and Delivery</w:t>
            </w:r>
          </w:p>
          <w:p w14:paraId="4164874F" w14:textId="4DA1B518" w:rsidR="00331D48" w:rsidRDefault="00331D48" w:rsidP="00331D48">
            <w:pPr>
              <w:spacing w:after="120"/>
              <w:rPr>
                <w:rFonts w:eastAsia="Times New Roman" w:cstheme="minorHAnsi"/>
                <w:lang w:eastAsia="en-AU"/>
              </w:rPr>
            </w:pPr>
            <w:r>
              <w:rPr>
                <w:rFonts w:eastAsia="Times New Roman" w:cstheme="minorHAnsi"/>
                <w:lang w:eastAsia="en-AU"/>
              </w:rPr>
              <w:t>Manager</w:t>
            </w:r>
            <w:r w:rsidR="00861913">
              <w:rPr>
                <w:rFonts w:eastAsia="Times New Roman" w:cstheme="minorHAnsi"/>
                <w:lang w:eastAsia="en-AU"/>
              </w:rPr>
              <w:t xml:space="preserve"> –</w:t>
            </w:r>
            <w:r w:rsidR="00861913">
              <w:t xml:space="preserve"> </w:t>
            </w:r>
            <w:r>
              <w:rPr>
                <w:rFonts w:eastAsia="Times New Roman" w:cstheme="minorHAnsi"/>
                <w:lang w:eastAsia="en-AU"/>
              </w:rPr>
              <w:t>Publications and Communication</w:t>
            </w:r>
          </w:p>
        </w:tc>
      </w:tr>
    </w:tbl>
    <w:p w14:paraId="19A4949B" w14:textId="77777777" w:rsidR="00D625E7" w:rsidRDefault="00D625E7">
      <w:pPr>
        <w:rPr>
          <w:rFonts w:eastAsia="Times New Roman" w:cstheme="minorHAnsi"/>
          <w:b/>
          <w:bCs/>
          <w:lang w:eastAsia="en-AU"/>
        </w:rPr>
      </w:pPr>
      <w:r>
        <w:rPr>
          <w:rFonts w:eastAsia="Times New Roman" w:cstheme="minorHAnsi"/>
          <w:b/>
          <w:bCs/>
          <w:lang w:eastAsia="en-AU"/>
        </w:rPr>
        <w:br w:type="page"/>
      </w:r>
    </w:p>
    <w:p w14:paraId="0DF1260D" w14:textId="7E9ACD91" w:rsidR="00695A1B" w:rsidRPr="000329A8" w:rsidRDefault="00BE3792" w:rsidP="006E0ACE">
      <w:pPr>
        <w:pStyle w:val="AppendixH2"/>
      </w:pPr>
      <w:r w:rsidRPr="00E13C3A">
        <w:lastRenderedPageBreak/>
        <w:t>Service</w:t>
      </w:r>
    </w:p>
    <w:tbl>
      <w:tblPr>
        <w:tblStyle w:val="ListTable3-Accent4"/>
        <w:tblW w:w="13856" w:type="dxa"/>
        <w:tblLook w:val="0020" w:firstRow="1" w:lastRow="0" w:firstColumn="0" w:lastColumn="0" w:noHBand="0" w:noVBand="0"/>
      </w:tblPr>
      <w:tblGrid>
        <w:gridCol w:w="8185"/>
        <w:gridCol w:w="3074"/>
        <w:gridCol w:w="2597"/>
      </w:tblGrid>
      <w:tr w:rsidR="00913E33" w:rsidRPr="007939AB" w14:paraId="788C5AE5" w14:textId="4DE1904D"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185" w:type="dxa"/>
            <w:tcBorders>
              <w:top w:val="single" w:sz="8" w:space="0" w:color="FFFFFF" w:themeColor="background1"/>
              <w:bottom w:val="single" w:sz="4" w:space="0" w:color="9983B5" w:themeColor="accent4"/>
              <w:right w:val="single" w:sz="8" w:space="0" w:color="FFFFFF" w:themeColor="background1"/>
            </w:tcBorders>
            <w:vAlign w:val="center"/>
          </w:tcPr>
          <w:p w14:paraId="774D8AD3" w14:textId="5CDEEB93" w:rsidR="00913E33" w:rsidRPr="007939AB" w:rsidRDefault="00913E33" w:rsidP="007939AB">
            <w:r w:rsidRPr="007939AB">
              <w:t xml:space="preserve">People with disability receive the same level and quality of service from the staff of a public authority as other people receive from the staff of </w:t>
            </w:r>
            <w:r w:rsidR="00C93576">
              <w:t>the A</w:t>
            </w:r>
            <w:r w:rsidRPr="007939AB">
              <w:t>uthority.</w:t>
            </w:r>
          </w:p>
        </w:tc>
        <w:tc>
          <w:tcPr>
            <w:tcW w:w="3074" w:type="dxa"/>
            <w:tcBorders>
              <w:top w:val="single" w:sz="8" w:space="0" w:color="FFFFFF" w:themeColor="background1"/>
              <w:left w:val="single" w:sz="8" w:space="0" w:color="FFFFFF" w:themeColor="background1"/>
              <w:bottom w:val="single" w:sz="4" w:space="0" w:color="9983B5" w:themeColor="accent4"/>
              <w:right w:val="single" w:sz="8" w:space="0" w:color="FFFFFF" w:themeColor="background1"/>
            </w:tcBorders>
            <w:vAlign w:val="center"/>
          </w:tcPr>
          <w:p w14:paraId="74D3B324" w14:textId="6BF1C8DC" w:rsidR="00913E33" w:rsidRPr="007939AB" w:rsidRDefault="00275B4C" w:rsidP="007939AB">
            <w:pPr>
              <w:cnfStyle w:val="100000000000" w:firstRow="1" w:lastRow="0" w:firstColumn="0" w:lastColumn="0" w:oddVBand="0" w:evenVBand="0" w:oddHBand="0" w:evenHBand="0" w:firstRowFirstColumn="0" w:firstRowLastColumn="0" w:lastRowFirstColumn="0" w:lastRowLastColumn="0"/>
            </w:pPr>
            <w:r w:rsidRPr="007939AB">
              <w:t>Timeframe</w:t>
            </w:r>
          </w:p>
        </w:tc>
        <w:tc>
          <w:tcPr>
            <w:cnfStyle w:val="000010000000" w:firstRow="0" w:lastRow="0" w:firstColumn="0" w:lastColumn="0" w:oddVBand="1" w:evenVBand="0" w:oddHBand="0" w:evenHBand="0" w:firstRowFirstColumn="0" w:firstRowLastColumn="0" w:lastRowFirstColumn="0" w:lastRowLastColumn="0"/>
            <w:tcW w:w="2597" w:type="dxa"/>
            <w:tcBorders>
              <w:top w:val="single" w:sz="8" w:space="0" w:color="FFFFFF" w:themeColor="background1"/>
              <w:left w:val="single" w:sz="8" w:space="0" w:color="FFFFFF" w:themeColor="background1"/>
              <w:bottom w:val="single" w:sz="4" w:space="0" w:color="9983B5" w:themeColor="accent4"/>
            </w:tcBorders>
            <w:vAlign w:val="center"/>
          </w:tcPr>
          <w:p w14:paraId="6169BFB9" w14:textId="35CBA727" w:rsidR="00913E33" w:rsidRPr="007939AB" w:rsidRDefault="00913E33" w:rsidP="007939AB">
            <w:r w:rsidRPr="007939AB">
              <w:t>Responsibility</w:t>
            </w:r>
          </w:p>
        </w:tc>
      </w:tr>
      <w:tr w:rsidR="00913E33" w:rsidRPr="00E13C3A" w14:paraId="75FC33B9" w14:textId="30ED0FAC"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85" w:type="dxa"/>
          </w:tcPr>
          <w:p w14:paraId="3B87F5E8" w14:textId="7C88698D" w:rsidR="00913E33" w:rsidRPr="00E13C3A" w:rsidRDefault="00D625E7" w:rsidP="005215F8">
            <w:pPr>
              <w:pStyle w:val="Appendix3"/>
            </w:pPr>
            <w:r>
              <w:t>Conduct</w:t>
            </w:r>
            <w:r w:rsidR="006A275B">
              <w:t xml:space="preserve"> a</w:t>
            </w:r>
            <w:r>
              <w:t xml:space="preserve"> risk assessment </w:t>
            </w:r>
            <w:r w:rsidR="00E10894">
              <w:t>in</w:t>
            </w:r>
            <w:r>
              <w:t xml:space="preserve"> disability </w:t>
            </w:r>
            <w:r w:rsidR="00521EC1">
              <w:t xml:space="preserve">inclusion, </w:t>
            </w:r>
            <w:r>
              <w:t xml:space="preserve">support and access to </w:t>
            </w:r>
            <w:r w:rsidR="002A540D">
              <w:t xml:space="preserve">the </w:t>
            </w:r>
            <w:r>
              <w:t>Authority’s services</w:t>
            </w:r>
            <w:r w:rsidR="002A540D">
              <w:t>.</w:t>
            </w:r>
          </w:p>
        </w:tc>
        <w:tc>
          <w:tcPr>
            <w:tcW w:w="3074" w:type="dxa"/>
          </w:tcPr>
          <w:p w14:paraId="69F1A2B7" w14:textId="797988A9" w:rsidR="00913E33" w:rsidRPr="00E13C3A" w:rsidRDefault="00D625E7" w:rsidP="00913E3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December 202</w:t>
            </w:r>
            <w:r w:rsidR="00C02BE2">
              <w:rPr>
                <w:rFonts w:eastAsia="Times New Roman" w:cstheme="minorHAnsi"/>
                <w:lang w:eastAsia="en-AU"/>
              </w:rPr>
              <w:t>4</w:t>
            </w:r>
          </w:p>
        </w:tc>
        <w:tc>
          <w:tcPr>
            <w:cnfStyle w:val="000010000000" w:firstRow="0" w:lastRow="0" w:firstColumn="0" w:lastColumn="0" w:oddVBand="1" w:evenVBand="0" w:oddHBand="0" w:evenHBand="0" w:firstRowFirstColumn="0" w:firstRowLastColumn="0" w:lastRowFirstColumn="0" w:lastRowLastColumn="0"/>
            <w:tcW w:w="2597" w:type="dxa"/>
          </w:tcPr>
          <w:p w14:paraId="117F0FCE" w14:textId="4366859D" w:rsidR="000C74E8" w:rsidRPr="00E13C3A" w:rsidRDefault="00D625E7" w:rsidP="00D625E7">
            <w:pPr>
              <w:spacing w:after="120"/>
              <w:rPr>
                <w:rFonts w:eastAsia="Times New Roman" w:cstheme="minorHAnsi"/>
                <w:lang w:eastAsia="en-AU"/>
              </w:rPr>
            </w:pPr>
            <w:r>
              <w:rPr>
                <w:rFonts w:eastAsia="Times New Roman" w:cstheme="minorHAnsi"/>
                <w:lang w:eastAsia="en-AU"/>
              </w:rPr>
              <w:t>Executive Group</w:t>
            </w:r>
          </w:p>
        </w:tc>
      </w:tr>
      <w:tr w:rsidR="00913E33" w:rsidRPr="00E13C3A" w14:paraId="6F27F196" w14:textId="528E0EE7" w:rsidTr="007939AB">
        <w:tc>
          <w:tcPr>
            <w:cnfStyle w:val="000010000000" w:firstRow="0" w:lastRow="0" w:firstColumn="0" w:lastColumn="0" w:oddVBand="1" w:evenVBand="0" w:oddHBand="0" w:evenHBand="0" w:firstRowFirstColumn="0" w:firstRowLastColumn="0" w:lastRowFirstColumn="0" w:lastRowLastColumn="0"/>
            <w:tcW w:w="8185" w:type="dxa"/>
          </w:tcPr>
          <w:p w14:paraId="675939F7" w14:textId="3AEDDB37" w:rsidR="00913E33" w:rsidRPr="00E13C3A" w:rsidRDefault="00913E33" w:rsidP="005215F8">
            <w:pPr>
              <w:pStyle w:val="Appendix3"/>
            </w:pPr>
            <w:r w:rsidRPr="00E13C3A">
              <w:t xml:space="preserve">Provide opportunities for </w:t>
            </w:r>
            <w:r w:rsidR="006A275B">
              <w:t>customer</w:t>
            </w:r>
            <w:r w:rsidR="003944B8">
              <w:t>-</w:t>
            </w:r>
            <w:r w:rsidR="006A275B">
              <w:t xml:space="preserve">facing </w:t>
            </w:r>
            <w:r w:rsidRPr="00E13C3A">
              <w:t xml:space="preserve">staff </w:t>
            </w:r>
            <w:r w:rsidR="00405C2B">
              <w:t xml:space="preserve">knowledge and </w:t>
            </w:r>
            <w:r w:rsidRPr="00E13C3A">
              <w:t xml:space="preserve">skills development to support people </w:t>
            </w:r>
            <w:r w:rsidR="00612FAD">
              <w:t>with</w:t>
            </w:r>
            <w:r w:rsidRPr="00E13C3A">
              <w:t xml:space="preserve"> disabilit</w:t>
            </w:r>
            <w:r w:rsidR="00405C2B">
              <w:t>y</w:t>
            </w:r>
            <w:r w:rsidRPr="00E13C3A">
              <w:t xml:space="preserve"> to access </w:t>
            </w:r>
            <w:r w:rsidR="00F36886" w:rsidRPr="00E13C3A">
              <w:t>services</w:t>
            </w:r>
            <w:r w:rsidR="006A275B">
              <w:t>.</w:t>
            </w:r>
          </w:p>
        </w:tc>
        <w:tc>
          <w:tcPr>
            <w:tcW w:w="3074" w:type="dxa"/>
          </w:tcPr>
          <w:p w14:paraId="65119903" w14:textId="6029D3AF" w:rsidR="00913E33" w:rsidRPr="00E13C3A" w:rsidRDefault="00405C2B" w:rsidP="006A275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December </w:t>
            </w:r>
            <w:r w:rsidR="00C02BE2">
              <w:rPr>
                <w:rFonts w:eastAsia="Times New Roman" w:cstheme="minorHAnsi"/>
                <w:lang w:eastAsia="en-AU"/>
              </w:rPr>
              <w:t>2023</w:t>
            </w:r>
          </w:p>
        </w:tc>
        <w:tc>
          <w:tcPr>
            <w:cnfStyle w:val="000010000000" w:firstRow="0" w:lastRow="0" w:firstColumn="0" w:lastColumn="0" w:oddVBand="1" w:evenVBand="0" w:oddHBand="0" w:evenHBand="0" w:firstRowFirstColumn="0" w:firstRowLastColumn="0" w:lastRowFirstColumn="0" w:lastRowLastColumn="0"/>
            <w:tcW w:w="2597" w:type="dxa"/>
          </w:tcPr>
          <w:p w14:paraId="1475FBD6" w14:textId="77777777" w:rsidR="006A275B" w:rsidRDefault="006A275B" w:rsidP="00D625E7">
            <w:pPr>
              <w:spacing w:after="120"/>
              <w:rPr>
                <w:rFonts w:eastAsia="Times New Roman" w:cstheme="minorHAnsi"/>
                <w:lang w:eastAsia="en-AU"/>
              </w:rPr>
            </w:pPr>
            <w:r>
              <w:rPr>
                <w:rFonts w:eastAsia="Times New Roman" w:cstheme="minorHAnsi"/>
                <w:lang w:eastAsia="en-AU"/>
              </w:rPr>
              <w:t>Executive Group</w:t>
            </w:r>
          </w:p>
          <w:p w14:paraId="4C747C00" w14:textId="7E04AD36" w:rsidR="006A275B" w:rsidRDefault="006A275B" w:rsidP="00D625E7">
            <w:pPr>
              <w:spacing w:after="120"/>
              <w:rPr>
                <w:rFonts w:eastAsia="Times New Roman" w:cstheme="minorHAnsi"/>
                <w:lang w:eastAsia="en-AU"/>
              </w:rPr>
            </w:pPr>
            <w:r>
              <w:rPr>
                <w:rFonts w:eastAsia="Times New Roman" w:cstheme="minorHAnsi"/>
                <w:lang w:eastAsia="en-AU"/>
              </w:rPr>
              <w:t>Team Managers</w:t>
            </w:r>
          </w:p>
          <w:p w14:paraId="2EDE8F2F" w14:textId="08214366" w:rsidR="00913E33" w:rsidRPr="00E13C3A" w:rsidRDefault="00D625E7" w:rsidP="00D625E7">
            <w:pPr>
              <w:spacing w:after="120"/>
              <w:rPr>
                <w:rFonts w:eastAsia="Times New Roman" w:cstheme="minorHAnsi"/>
                <w:lang w:eastAsia="en-AU"/>
              </w:rPr>
            </w:pPr>
            <w:r>
              <w:rPr>
                <w:rFonts w:eastAsia="Times New Roman" w:cstheme="minorHAnsi"/>
                <w:lang w:eastAsia="en-AU"/>
              </w:rPr>
              <w:t xml:space="preserve">Principal Consultant </w:t>
            </w:r>
            <w:r w:rsidR="00785947">
              <w:rPr>
                <w:rFonts w:eastAsia="Times New Roman" w:cstheme="minorHAnsi"/>
                <w:lang w:eastAsia="en-AU"/>
              </w:rPr>
              <w:t>–</w:t>
            </w:r>
            <w:r>
              <w:rPr>
                <w:rFonts w:eastAsia="Times New Roman" w:cstheme="minorHAnsi"/>
                <w:lang w:eastAsia="en-AU"/>
              </w:rPr>
              <w:t>Executive Services</w:t>
            </w:r>
          </w:p>
        </w:tc>
      </w:tr>
      <w:tr w:rsidR="00913E33" w:rsidRPr="00E13C3A" w14:paraId="3AF0EF80" w14:textId="2B27BAB1"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85" w:type="dxa"/>
          </w:tcPr>
          <w:p w14:paraId="6A6BFE1A" w14:textId="53223CE0" w:rsidR="00913E33" w:rsidRPr="00E13C3A" w:rsidRDefault="00913E33" w:rsidP="005215F8">
            <w:pPr>
              <w:pStyle w:val="Appendix3"/>
            </w:pPr>
            <w:r w:rsidRPr="00E13C3A">
              <w:t xml:space="preserve">Promote the </w:t>
            </w:r>
            <w:r w:rsidR="00405C2B" w:rsidRPr="00E13C3A">
              <w:t xml:space="preserve">Authority’s </w:t>
            </w:r>
            <w:r w:rsidRPr="00E13C3A">
              <w:t xml:space="preserve">DAIP and commitment to create an accessible and inclusive environment for all people </w:t>
            </w:r>
            <w:r w:rsidR="00405C2B">
              <w:t xml:space="preserve">and </w:t>
            </w:r>
            <w:r w:rsidR="00E10894">
              <w:t xml:space="preserve">induct </w:t>
            </w:r>
            <w:r w:rsidR="00405C2B">
              <w:t xml:space="preserve">staff </w:t>
            </w:r>
            <w:r w:rsidR="00E10894">
              <w:t xml:space="preserve">in </w:t>
            </w:r>
            <w:r w:rsidR="00405C2B" w:rsidRPr="00D625E7">
              <w:t xml:space="preserve">responsibilities associated with the </w:t>
            </w:r>
            <w:r w:rsidR="00405C2B">
              <w:t>DAIP.</w:t>
            </w:r>
          </w:p>
        </w:tc>
        <w:tc>
          <w:tcPr>
            <w:tcW w:w="3074" w:type="dxa"/>
          </w:tcPr>
          <w:p w14:paraId="238DA973" w14:textId="77777777" w:rsidR="00521EC1" w:rsidRDefault="00521EC1" w:rsidP="000C74E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Induction in DAIP on commencement</w:t>
            </w:r>
          </w:p>
          <w:p w14:paraId="4C0019F7" w14:textId="0C86B127" w:rsidR="00913E33" w:rsidRPr="00E13C3A" w:rsidRDefault="00521EC1" w:rsidP="00695A1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Promote </w:t>
            </w:r>
            <w:r w:rsidR="000C74E8">
              <w:rPr>
                <w:rFonts w:eastAsia="Times New Roman" w:cstheme="minorHAnsi"/>
                <w:lang w:eastAsia="en-AU"/>
              </w:rPr>
              <w:t xml:space="preserve">DAIP annually </w:t>
            </w:r>
            <w:r w:rsidR="00B96076">
              <w:rPr>
                <w:rFonts w:eastAsia="Times New Roman" w:cstheme="minorHAnsi"/>
                <w:lang w:eastAsia="en-AU"/>
              </w:rPr>
              <w:t>on</w:t>
            </w:r>
            <w:r w:rsidR="000C74E8">
              <w:rPr>
                <w:rFonts w:eastAsia="Times New Roman" w:cstheme="minorHAnsi"/>
                <w:lang w:eastAsia="en-AU"/>
              </w:rPr>
              <w:t xml:space="preserve"> International Day of People with Disability</w:t>
            </w:r>
            <w:r w:rsidR="00B96076">
              <w:rPr>
                <w:rFonts w:eastAsia="Times New Roman" w:cstheme="minorHAnsi"/>
                <w:lang w:eastAsia="en-AU"/>
              </w:rPr>
              <w:t>.</w:t>
            </w:r>
          </w:p>
        </w:tc>
        <w:tc>
          <w:tcPr>
            <w:cnfStyle w:val="000010000000" w:firstRow="0" w:lastRow="0" w:firstColumn="0" w:lastColumn="0" w:oddVBand="1" w:evenVBand="0" w:oddHBand="0" w:evenHBand="0" w:firstRowFirstColumn="0" w:firstRowLastColumn="0" w:lastRowFirstColumn="0" w:lastRowLastColumn="0"/>
            <w:tcW w:w="2597" w:type="dxa"/>
          </w:tcPr>
          <w:p w14:paraId="344D615E" w14:textId="3936F0A4" w:rsidR="000C74E8" w:rsidRDefault="000C74E8" w:rsidP="000C74E8">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Executive Services</w:t>
            </w:r>
          </w:p>
          <w:p w14:paraId="2E31F01E" w14:textId="52EA27C0" w:rsidR="00913E33" w:rsidRPr="00E13C3A" w:rsidRDefault="00913E33" w:rsidP="000C74E8">
            <w:pPr>
              <w:spacing w:after="120"/>
              <w:rPr>
                <w:rFonts w:eastAsia="Times New Roman" w:cstheme="minorHAnsi"/>
                <w:lang w:eastAsia="en-AU"/>
              </w:rPr>
            </w:pPr>
          </w:p>
        </w:tc>
      </w:tr>
      <w:tr w:rsidR="00370522" w:rsidRPr="00E13C3A" w14:paraId="0A1E0C9C" w14:textId="77777777" w:rsidTr="007939AB">
        <w:tc>
          <w:tcPr>
            <w:cnfStyle w:val="000010000000" w:firstRow="0" w:lastRow="0" w:firstColumn="0" w:lastColumn="0" w:oddVBand="1" w:evenVBand="0" w:oddHBand="0" w:evenHBand="0" w:firstRowFirstColumn="0" w:firstRowLastColumn="0" w:lastRowFirstColumn="0" w:lastRowLastColumn="0"/>
            <w:tcW w:w="8185" w:type="dxa"/>
          </w:tcPr>
          <w:p w14:paraId="057D4721" w14:textId="45BB015D" w:rsidR="00370522" w:rsidRPr="00BC00A8" w:rsidRDefault="003E5FFA" w:rsidP="005215F8">
            <w:pPr>
              <w:pStyle w:val="Appendix3"/>
            </w:pPr>
            <w:r w:rsidRPr="00BC00A8">
              <w:t>ABLE</w:t>
            </w:r>
            <w:r w:rsidRPr="00385156">
              <w:rPr>
                <w:i/>
                <w:iCs/>
              </w:rPr>
              <w:t>WA</w:t>
            </w:r>
            <w:r w:rsidRPr="00BC00A8">
              <w:t xml:space="preserve">: </w:t>
            </w:r>
            <w:r w:rsidR="00151FFD">
              <w:t>p</w:t>
            </w:r>
            <w:r w:rsidR="006A275B" w:rsidRPr="00BC00A8">
              <w:t xml:space="preserve">rocure the </w:t>
            </w:r>
            <w:r w:rsidRPr="00BC00A8">
              <w:t xml:space="preserve">ABLES </w:t>
            </w:r>
            <w:r w:rsidR="006A275B" w:rsidRPr="00BC00A8">
              <w:t xml:space="preserve">licence from the University of Melbourne </w:t>
            </w:r>
            <w:r w:rsidR="00395CA2">
              <w:t>to provide</w:t>
            </w:r>
            <w:r w:rsidR="00370522" w:rsidRPr="00BC00A8">
              <w:t xml:space="preserve"> </w:t>
            </w:r>
            <w:r w:rsidR="00395CA2">
              <w:t xml:space="preserve">the Authority with </w:t>
            </w:r>
            <w:r w:rsidR="00370522" w:rsidRPr="00BC00A8">
              <w:t xml:space="preserve">ongoing access to the ABLES Assessment Tool. </w:t>
            </w:r>
          </w:p>
          <w:p w14:paraId="468EFB11" w14:textId="1B0D775E" w:rsidR="00370522" w:rsidRPr="00BC00A8" w:rsidRDefault="00370522" w:rsidP="005215F8">
            <w:pPr>
              <w:pStyle w:val="ListParagraph"/>
              <w:numPr>
                <w:ilvl w:val="0"/>
                <w:numId w:val="4"/>
              </w:numPr>
              <w:spacing w:line="252" w:lineRule="auto"/>
            </w:pPr>
            <w:r w:rsidRPr="00BC00A8">
              <w:t>Review the ABLE</w:t>
            </w:r>
            <w:r w:rsidRPr="00BC00A8">
              <w:rPr>
                <w:i/>
                <w:iCs/>
              </w:rPr>
              <w:t>WA</w:t>
            </w:r>
            <w:r w:rsidRPr="00BC00A8">
              <w:t xml:space="preserve"> Online Professional Learning Course to reflect the recent changes to the assessment platform by the University of Melbourne (Note: </w:t>
            </w:r>
            <w:r w:rsidR="007B4028">
              <w:t>c</w:t>
            </w:r>
            <w:r w:rsidRPr="00BC00A8">
              <w:t xml:space="preserve">urrently we have a </w:t>
            </w:r>
            <w:r w:rsidR="007B4028">
              <w:t>two</w:t>
            </w:r>
            <w:r w:rsidR="00F36886" w:rsidRPr="00BC00A8">
              <w:t>-year</w:t>
            </w:r>
            <w:r w:rsidRPr="00BC00A8">
              <w:t xml:space="preserve"> contract until June 2024 with the company that hosts the </w:t>
            </w:r>
            <w:r w:rsidR="00B96076">
              <w:t>professional learning</w:t>
            </w:r>
            <w:r w:rsidRPr="00BC00A8">
              <w:t xml:space="preserve"> modules – </w:t>
            </w:r>
            <w:r w:rsidR="00B96076">
              <w:t xml:space="preserve">subject to </w:t>
            </w:r>
            <w:r w:rsidRPr="00BC00A8">
              <w:t>time and funding</w:t>
            </w:r>
            <w:r w:rsidR="00B96076">
              <w:t xml:space="preserve"> to continue beyond 2024</w:t>
            </w:r>
            <w:r w:rsidRPr="00BC00A8">
              <w:t>).</w:t>
            </w:r>
          </w:p>
          <w:p w14:paraId="61A2F03C" w14:textId="502B9DC4" w:rsidR="003E5FFA" w:rsidRPr="00BC00A8" w:rsidRDefault="003E5FFA" w:rsidP="005215F8">
            <w:pPr>
              <w:pStyle w:val="ListParagraph"/>
              <w:numPr>
                <w:ilvl w:val="0"/>
                <w:numId w:val="3"/>
              </w:numPr>
              <w:spacing w:line="252" w:lineRule="auto"/>
            </w:pPr>
            <w:r w:rsidRPr="00BC00A8">
              <w:t>Provi</w:t>
            </w:r>
            <w:r w:rsidR="00525672">
              <w:t>de</w:t>
            </w:r>
            <w:r w:rsidRPr="00BC00A8">
              <w:t xml:space="preserve"> ongoing local help desk for Western Australian users of the ABLES Assessment Tool. (Note: Principal Consultant – Strategic Projects responds to all emails sent to </w:t>
            </w:r>
            <w:hyperlink r:id="rId25" w:history="1">
              <w:r w:rsidR="00BC00A8" w:rsidRPr="00BC00A8">
                <w:rPr>
                  <w:rStyle w:val="Hyperlink"/>
                </w:rPr>
                <w:t>ablewa@scsa.wa.edu.au</w:t>
              </w:r>
            </w:hyperlink>
            <w:r w:rsidRPr="00BC00A8">
              <w:t>).</w:t>
            </w:r>
          </w:p>
          <w:p w14:paraId="4B4A90E8" w14:textId="468FA949" w:rsidR="00370522" w:rsidRPr="00BC00A8" w:rsidRDefault="003E5FFA" w:rsidP="005215F8">
            <w:pPr>
              <w:pStyle w:val="ListParagraph"/>
              <w:numPr>
                <w:ilvl w:val="0"/>
                <w:numId w:val="3"/>
              </w:numPr>
              <w:spacing w:line="252" w:lineRule="auto"/>
              <w:rPr>
                <w:rFonts w:eastAsia="Times New Roman" w:cstheme="minorHAnsi"/>
                <w:lang w:eastAsia="en-AU"/>
              </w:rPr>
            </w:pPr>
            <w:r w:rsidRPr="00BC00A8">
              <w:t>Ongoing adopting/adapti</w:t>
            </w:r>
            <w:r w:rsidR="00E96792">
              <w:t>ng</w:t>
            </w:r>
            <w:r w:rsidRPr="00BC00A8">
              <w:t xml:space="preserve"> of any changes to the ABLES curriculum made by the Victorian Department of Education </w:t>
            </w:r>
            <w:r w:rsidR="00861913">
              <w:t>and</w:t>
            </w:r>
            <w:r w:rsidRPr="00BC00A8">
              <w:t xml:space="preserve"> Training in response to the F</w:t>
            </w:r>
            <w:r w:rsidR="00861913">
              <w:t>–</w:t>
            </w:r>
            <w:r w:rsidRPr="00BC00A8">
              <w:t xml:space="preserve">10 Australian Curriculum review. </w:t>
            </w:r>
          </w:p>
        </w:tc>
        <w:tc>
          <w:tcPr>
            <w:tcW w:w="3074" w:type="dxa"/>
          </w:tcPr>
          <w:p w14:paraId="44CB368A" w14:textId="77777777" w:rsidR="00370522" w:rsidRDefault="00370522" w:rsidP="00432774">
            <w:pPr>
              <w:spacing w:before="480" w:after="120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E5FFA">
              <w:rPr>
                <w:rFonts w:eastAsia="Times New Roman" w:cstheme="minorHAnsi"/>
                <w:lang w:eastAsia="en-AU"/>
              </w:rPr>
              <w:t>June 2024</w:t>
            </w:r>
          </w:p>
          <w:p w14:paraId="0BA04041" w14:textId="77777777" w:rsidR="00785947" w:rsidRDefault="003E5FFA" w:rsidP="00432774">
            <w:pPr>
              <w:spacing w:before="360" w:after="60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Ongoing</w:t>
            </w:r>
          </w:p>
          <w:p w14:paraId="06A5F099" w14:textId="721E6867" w:rsidR="00432774" w:rsidRPr="003E5FFA" w:rsidRDefault="00432774" w:rsidP="00432774">
            <w:pPr>
              <w:spacing w:before="360" w:after="48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597" w:type="dxa"/>
          </w:tcPr>
          <w:p w14:paraId="270BC8AB" w14:textId="552E8A75" w:rsidR="00370522" w:rsidRPr="003E5FFA" w:rsidRDefault="00370522" w:rsidP="003E5FFA">
            <w:pPr>
              <w:spacing w:after="120"/>
              <w:rPr>
                <w:rFonts w:eastAsia="Times New Roman" w:cstheme="minorHAnsi"/>
                <w:lang w:eastAsia="en-AU"/>
              </w:rPr>
            </w:pPr>
            <w:r w:rsidRPr="003E5FFA">
              <w:rPr>
                <w:rFonts w:eastAsia="Times New Roman" w:cstheme="minorHAnsi"/>
                <w:lang w:eastAsia="en-AU"/>
              </w:rPr>
              <w:t>Principal Consultant</w:t>
            </w:r>
            <w:r w:rsidR="00861913">
              <w:rPr>
                <w:rFonts w:eastAsia="Times New Roman" w:cstheme="minorHAnsi"/>
                <w:lang w:eastAsia="en-AU"/>
              </w:rPr>
              <w:t xml:space="preserve"> –</w:t>
            </w:r>
            <w:r w:rsidR="005215F8">
              <w:t xml:space="preserve"> </w:t>
            </w:r>
            <w:r w:rsidRPr="003E5FFA">
              <w:rPr>
                <w:rFonts w:eastAsia="Times New Roman" w:cstheme="minorHAnsi"/>
                <w:lang w:eastAsia="en-AU"/>
              </w:rPr>
              <w:t>Strategic Projects</w:t>
            </w:r>
          </w:p>
        </w:tc>
      </w:tr>
    </w:tbl>
    <w:p w14:paraId="77025904" w14:textId="13CD2FB9" w:rsidR="003E5FFA" w:rsidRPr="00E13C3A" w:rsidRDefault="003E5FFA" w:rsidP="006E0ACE">
      <w:pPr>
        <w:pStyle w:val="AppendixH2"/>
      </w:pPr>
      <w:r w:rsidRPr="00E13C3A">
        <w:lastRenderedPageBreak/>
        <w:t>Complaints</w:t>
      </w:r>
    </w:p>
    <w:tbl>
      <w:tblPr>
        <w:tblStyle w:val="ListTable3-Accent4"/>
        <w:tblW w:w="13857" w:type="dxa"/>
        <w:tblLook w:val="0020" w:firstRow="1" w:lastRow="0" w:firstColumn="0" w:lastColumn="0" w:noHBand="0" w:noVBand="0"/>
      </w:tblPr>
      <w:tblGrid>
        <w:gridCol w:w="8212"/>
        <w:gridCol w:w="3060"/>
        <w:gridCol w:w="2585"/>
      </w:tblGrid>
      <w:tr w:rsidR="000C74E8" w:rsidRPr="007939AB" w14:paraId="0C9C2331" w14:textId="4656C72B"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212" w:type="dxa"/>
            <w:tcBorders>
              <w:top w:val="single" w:sz="8" w:space="0" w:color="FFFFFF" w:themeColor="background1"/>
              <w:bottom w:val="single" w:sz="4" w:space="0" w:color="9983B5" w:themeColor="accent4"/>
              <w:right w:val="single" w:sz="8" w:space="0" w:color="FFFFFF" w:themeColor="background1"/>
            </w:tcBorders>
            <w:vAlign w:val="center"/>
          </w:tcPr>
          <w:p w14:paraId="396B0728" w14:textId="1565BA5B" w:rsidR="000C74E8" w:rsidRPr="007939AB" w:rsidRDefault="000C74E8" w:rsidP="007939AB">
            <w:r w:rsidRPr="007939AB">
              <w:t xml:space="preserve">People with disability have the same opportunities as other people to make complaints to </w:t>
            </w:r>
            <w:r w:rsidR="00C93576">
              <w:t>the A</w:t>
            </w:r>
            <w:r w:rsidRPr="007939AB">
              <w:t xml:space="preserve">uthority. </w:t>
            </w:r>
          </w:p>
        </w:tc>
        <w:tc>
          <w:tcPr>
            <w:tcW w:w="3060" w:type="dxa"/>
            <w:tcBorders>
              <w:top w:val="single" w:sz="8" w:space="0" w:color="FFFFFF" w:themeColor="background1"/>
              <w:left w:val="single" w:sz="8" w:space="0" w:color="FFFFFF" w:themeColor="background1"/>
              <w:bottom w:val="single" w:sz="4" w:space="0" w:color="9983B5" w:themeColor="accent4"/>
              <w:right w:val="single" w:sz="8" w:space="0" w:color="FFFFFF" w:themeColor="background1"/>
            </w:tcBorders>
            <w:vAlign w:val="center"/>
          </w:tcPr>
          <w:p w14:paraId="59FE51FC" w14:textId="7B518D93" w:rsidR="000C74E8" w:rsidRPr="007939AB" w:rsidRDefault="00275B4C" w:rsidP="007939AB">
            <w:pPr>
              <w:cnfStyle w:val="100000000000" w:firstRow="1" w:lastRow="0" w:firstColumn="0" w:lastColumn="0" w:oddVBand="0" w:evenVBand="0" w:oddHBand="0" w:evenHBand="0" w:firstRowFirstColumn="0" w:firstRowLastColumn="0" w:lastRowFirstColumn="0" w:lastRowLastColumn="0"/>
            </w:pPr>
            <w:r w:rsidRPr="007939AB">
              <w:t>Timeframe</w:t>
            </w:r>
          </w:p>
        </w:tc>
        <w:tc>
          <w:tcPr>
            <w:cnfStyle w:val="000010000000" w:firstRow="0" w:lastRow="0" w:firstColumn="0" w:lastColumn="0" w:oddVBand="1" w:evenVBand="0" w:oddHBand="0" w:evenHBand="0" w:firstRowFirstColumn="0" w:firstRowLastColumn="0" w:lastRowFirstColumn="0" w:lastRowLastColumn="0"/>
            <w:tcW w:w="2585" w:type="dxa"/>
            <w:tcBorders>
              <w:top w:val="single" w:sz="8" w:space="0" w:color="FFFFFF" w:themeColor="background1"/>
              <w:left w:val="single" w:sz="8" w:space="0" w:color="FFFFFF" w:themeColor="background1"/>
              <w:bottom w:val="single" w:sz="4" w:space="0" w:color="9983B5" w:themeColor="accent4"/>
            </w:tcBorders>
            <w:vAlign w:val="center"/>
          </w:tcPr>
          <w:p w14:paraId="0A238E99" w14:textId="5C11D245" w:rsidR="000C74E8" w:rsidRPr="007939AB" w:rsidRDefault="000C74E8" w:rsidP="007939AB">
            <w:r w:rsidRPr="007939AB">
              <w:t>Responsibility</w:t>
            </w:r>
          </w:p>
        </w:tc>
      </w:tr>
      <w:tr w:rsidR="000C74E8" w:rsidRPr="00E13C3A" w14:paraId="749B7AA6" w14:textId="11222C1F"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2" w:type="dxa"/>
          </w:tcPr>
          <w:p w14:paraId="5CFEBED4" w14:textId="0512B8EF" w:rsidR="00521EC1" w:rsidRPr="00E13C3A" w:rsidRDefault="004F085D" w:rsidP="005215F8">
            <w:pPr>
              <w:pStyle w:val="Appendix3"/>
            </w:pPr>
            <w:r>
              <w:t>Monitor</w:t>
            </w:r>
            <w:r w:rsidR="000C74E8" w:rsidRPr="00E13C3A">
              <w:t xml:space="preserve"> complaints </w:t>
            </w:r>
            <w:r w:rsidR="00995A32" w:rsidRPr="00995A32">
              <w:t xml:space="preserve">policy and procedures </w:t>
            </w:r>
            <w:r w:rsidR="000C74E8" w:rsidRPr="00E13C3A">
              <w:t xml:space="preserve">to </w:t>
            </w:r>
            <w:r w:rsidR="00995A32">
              <w:t>ensure</w:t>
            </w:r>
            <w:r w:rsidR="000C74E8" w:rsidRPr="00E13C3A">
              <w:t xml:space="preserve"> available </w:t>
            </w:r>
            <w:r w:rsidR="00995A32">
              <w:t xml:space="preserve">mechanisms for complaints </w:t>
            </w:r>
            <w:r w:rsidR="000C74E8" w:rsidRPr="00E13C3A">
              <w:t>meet the needs of people with disability</w:t>
            </w:r>
            <w:r w:rsidR="00521EC1">
              <w:t>.</w:t>
            </w:r>
          </w:p>
        </w:tc>
        <w:tc>
          <w:tcPr>
            <w:tcW w:w="3060" w:type="dxa"/>
          </w:tcPr>
          <w:p w14:paraId="33EBB56A" w14:textId="7881D153" w:rsidR="000C74E8" w:rsidRPr="00E13C3A" w:rsidRDefault="000C74E8" w:rsidP="000C74E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585" w:type="dxa"/>
          </w:tcPr>
          <w:p w14:paraId="1C49D924" w14:textId="37031B2C" w:rsidR="00675EED" w:rsidRDefault="00675EED" w:rsidP="00675EED">
            <w:pPr>
              <w:spacing w:after="120"/>
              <w:rPr>
                <w:rFonts w:eastAsia="Times New Roman" w:cstheme="minorHAnsi"/>
                <w:lang w:eastAsia="en-AU"/>
              </w:rPr>
            </w:pPr>
            <w:r>
              <w:rPr>
                <w:rFonts w:eastAsia="Times New Roman" w:cstheme="minorHAnsi"/>
                <w:lang w:eastAsia="en-AU"/>
              </w:rPr>
              <w:t>Info@ Coordinator</w:t>
            </w:r>
          </w:p>
          <w:p w14:paraId="28F5F3D0" w14:textId="77777777" w:rsidR="00675EED" w:rsidRDefault="00675EED" w:rsidP="00675EED">
            <w:pPr>
              <w:spacing w:after="120"/>
              <w:rPr>
                <w:rFonts w:eastAsia="Times New Roman" w:cstheme="minorHAnsi"/>
                <w:lang w:eastAsia="en-AU"/>
              </w:rPr>
            </w:pPr>
            <w:r>
              <w:rPr>
                <w:rFonts w:eastAsia="Times New Roman" w:cstheme="minorHAnsi"/>
                <w:lang w:eastAsia="en-AU"/>
              </w:rPr>
              <w:t>Team Managers</w:t>
            </w:r>
          </w:p>
          <w:p w14:paraId="67035F00" w14:textId="23F0C647" w:rsidR="00521EC1" w:rsidRPr="00E13C3A" w:rsidRDefault="00521EC1" w:rsidP="00675EED">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 xml:space="preserve">Executive Services </w:t>
            </w:r>
          </w:p>
        </w:tc>
      </w:tr>
      <w:tr w:rsidR="000C74E8" w:rsidRPr="00E13C3A" w14:paraId="0042FE02" w14:textId="0760769E" w:rsidTr="007939AB">
        <w:tc>
          <w:tcPr>
            <w:cnfStyle w:val="000010000000" w:firstRow="0" w:lastRow="0" w:firstColumn="0" w:lastColumn="0" w:oddVBand="1" w:evenVBand="0" w:oddHBand="0" w:evenHBand="0" w:firstRowFirstColumn="0" w:firstRowLastColumn="0" w:lastRowFirstColumn="0" w:lastRowLastColumn="0"/>
            <w:tcW w:w="8212" w:type="dxa"/>
          </w:tcPr>
          <w:p w14:paraId="0BBD15AA" w14:textId="102D1765" w:rsidR="000C74E8" w:rsidRPr="00E13C3A" w:rsidRDefault="004F085D" w:rsidP="005215F8">
            <w:pPr>
              <w:pStyle w:val="Appendix3"/>
            </w:pPr>
            <w:r>
              <w:t>Ensure</w:t>
            </w:r>
            <w:r w:rsidR="000C74E8" w:rsidRPr="00E13C3A">
              <w:t xml:space="preserve"> customer</w:t>
            </w:r>
            <w:r w:rsidR="004816EE">
              <w:t>-</w:t>
            </w:r>
            <w:r w:rsidR="000C74E8" w:rsidRPr="00E13C3A">
              <w:t xml:space="preserve">facing staff </w:t>
            </w:r>
            <w:r>
              <w:t xml:space="preserve">have the </w:t>
            </w:r>
            <w:r w:rsidR="000C74E8" w:rsidRPr="00E13C3A">
              <w:t>knowledge</w:t>
            </w:r>
            <w:r>
              <w:t xml:space="preserve"> and skills</w:t>
            </w:r>
            <w:r w:rsidR="000C74E8" w:rsidRPr="00E13C3A">
              <w:t xml:space="preserve"> </w:t>
            </w:r>
            <w:r>
              <w:t>to</w:t>
            </w:r>
            <w:r w:rsidR="000C74E8" w:rsidRPr="00E13C3A">
              <w:t xml:space="preserve"> facilitate</w:t>
            </w:r>
            <w:r>
              <w:t xml:space="preserve"> access</w:t>
            </w:r>
            <w:r w:rsidR="000C74E8" w:rsidRPr="00E13C3A">
              <w:t xml:space="preserve"> and respond to complaints received from people with disability.</w:t>
            </w:r>
          </w:p>
        </w:tc>
        <w:tc>
          <w:tcPr>
            <w:tcW w:w="3060" w:type="dxa"/>
          </w:tcPr>
          <w:p w14:paraId="2795C023" w14:textId="77777777" w:rsidR="004F085D" w:rsidRDefault="004F085D" w:rsidP="003D776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Ongoing</w:t>
            </w:r>
          </w:p>
          <w:p w14:paraId="1CC9AEC8" w14:textId="624FDD89" w:rsidR="000C74E8" w:rsidRPr="00E13C3A" w:rsidRDefault="004F085D" w:rsidP="00612FA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Customised training provided by team (Programs and Data, K–10 Testing, Exam Logistics, Reception etc.) </w:t>
            </w:r>
          </w:p>
        </w:tc>
        <w:tc>
          <w:tcPr>
            <w:cnfStyle w:val="000010000000" w:firstRow="0" w:lastRow="0" w:firstColumn="0" w:lastColumn="0" w:oddVBand="1" w:evenVBand="0" w:oddHBand="0" w:evenHBand="0" w:firstRowFirstColumn="0" w:firstRowLastColumn="0" w:lastRowFirstColumn="0" w:lastRowLastColumn="0"/>
            <w:tcW w:w="2585" w:type="dxa"/>
          </w:tcPr>
          <w:p w14:paraId="7FB77131" w14:textId="77777777" w:rsidR="003E5FFA" w:rsidRDefault="003E5FFA" w:rsidP="003E5FFA">
            <w:pPr>
              <w:spacing w:after="120"/>
              <w:rPr>
                <w:rFonts w:eastAsia="Times New Roman" w:cstheme="minorHAnsi"/>
                <w:lang w:eastAsia="en-AU"/>
              </w:rPr>
            </w:pPr>
            <w:r>
              <w:rPr>
                <w:rFonts w:eastAsia="Times New Roman" w:cstheme="minorHAnsi"/>
                <w:lang w:eastAsia="en-AU"/>
              </w:rPr>
              <w:t>Team Managers</w:t>
            </w:r>
          </w:p>
          <w:p w14:paraId="1AB3494B" w14:textId="7BD13525" w:rsidR="000C74E8" w:rsidRPr="00E13C3A" w:rsidRDefault="000C74E8" w:rsidP="003E5FFA">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Executive Services</w:t>
            </w:r>
          </w:p>
        </w:tc>
      </w:tr>
      <w:tr w:rsidR="000C74E8" w:rsidRPr="00E13C3A" w14:paraId="5D10D014" w14:textId="6B0F7711"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2" w:type="dxa"/>
          </w:tcPr>
          <w:p w14:paraId="251753EB" w14:textId="379233BB" w:rsidR="000C74E8" w:rsidRPr="00E13C3A" w:rsidRDefault="00405C2B" w:rsidP="005215F8">
            <w:pPr>
              <w:pStyle w:val="Appendix3"/>
            </w:pPr>
            <w:r>
              <w:t>Monitor</w:t>
            </w:r>
            <w:r w:rsidR="000C74E8" w:rsidRPr="00E13C3A">
              <w:t xml:space="preserve"> complaints received and the complaint outcome to identify opportunities for improvement and</w:t>
            </w:r>
            <w:r w:rsidR="00521EC1">
              <w:t xml:space="preserve"> </w:t>
            </w:r>
            <w:r w:rsidR="000C74E8" w:rsidRPr="00E13C3A">
              <w:t>feed</w:t>
            </w:r>
            <w:r w:rsidR="00521EC1">
              <w:t xml:space="preserve"> into</w:t>
            </w:r>
            <w:r w:rsidR="000C74E8" w:rsidRPr="00E13C3A">
              <w:t xml:space="preserve"> annual DAIP reports</w:t>
            </w:r>
            <w:r w:rsidR="004816EE">
              <w:t>.</w:t>
            </w:r>
          </w:p>
        </w:tc>
        <w:tc>
          <w:tcPr>
            <w:tcW w:w="3060" w:type="dxa"/>
          </w:tcPr>
          <w:p w14:paraId="0AFB12E7" w14:textId="07B1F6A8" w:rsidR="000C74E8" w:rsidRPr="00E13C3A" w:rsidRDefault="00432774" w:rsidP="00521EC1">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585" w:type="dxa"/>
          </w:tcPr>
          <w:p w14:paraId="66A70480" w14:textId="77777777" w:rsidR="003E5FFA" w:rsidRDefault="003E5FFA" w:rsidP="00695A1B">
            <w:pPr>
              <w:spacing w:after="120"/>
              <w:rPr>
                <w:rFonts w:eastAsia="Times New Roman" w:cstheme="minorHAnsi"/>
                <w:lang w:eastAsia="en-AU"/>
              </w:rPr>
            </w:pPr>
            <w:r>
              <w:rPr>
                <w:rFonts w:eastAsia="Times New Roman" w:cstheme="minorHAnsi"/>
                <w:lang w:eastAsia="en-AU"/>
              </w:rPr>
              <w:t xml:space="preserve">Executive Group </w:t>
            </w:r>
          </w:p>
          <w:p w14:paraId="10A35515" w14:textId="066187E5" w:rsidR="000C74E8" w:rsidRDefault="000C74E8" w:rsidP="00695A1B">
            <w:pPr>
              <w:spacing w:after="120"/>
              <w:rPr>
                <w:rFonts w:eastAsia="Times New Roman" w:cstheme="minorHAnsi"/>
                <w:lang w:eastAsia="en-AU"/>
              </w:rPr>
            </w:pPr>
            <w:r>
              <w:rPr>
                <w:rFonts w:eastAsia="Times New Roman" w:cstheme="minorHAnsi"/>
                <w:lang w:eastAsia="en-AU"/>
              </w:rPr>
              <w:t>Team Managers</w:t>
            </w:r>
          </w:p>
          <w:p w14:paraId="56F5AA91" w14:textId="481C2C02" w:rsidR="000C74E8" w:rsidRDefault="000C74E8" w:rsidP="00695A1B">
            <w:pPr>
              <w:spacing w:after="120"/>
              <w:rPr>
                <w:rFonts w:eastAsia="Times New Roman" w:cstheme="minorHAnsi"/>
                <w:lang w:eastAsia="en-AU"/>
              </w:rPr>
            </w:pPr>
            <w:r>
              <w:rPr>
                <w:rFonts w:eastAsia="Times New Roman" w:cstheme="minorHAnsi"/>
                <w:lang w:eastAsia="en-AU"/>
              </w:rPr>
              <w:t>Principal Consultant</w:t>
            </w:r>
            <w:r w:rsidR="00861913">
              <w:rPr>
                <w:rFonts w:eastAsia="Times New Roman" w:cstheme="minorHAnsi"/>
                <w:lang w:eastAsia="en-AU"/>
              </w:rPr>
              <w:t xml:space="preserve"> –</w:t>
            </w:r>
            <w:r w:rsidR="00861913">
              <w:t xml:space="preserve"> </w:t>
            </w:r>
            <w:r>
              <w:rPr>
                <w:rFonts w:eastAsia="Times New Roman" w:cstheme="minorHAnsi"/>
                <w:lang w:eastAsia="en-AU"/>
              </w:rPr>
              <w:t>Executive Services</w:t>
            </w:r>
          </w:p>
          <w:p w14:paraId="4B57C98D" w14:textId="79421DE5" w:rsidR="00612FAD" w:rsidRPr="00E13C3A" w:rsidRDefault="00612FAD" w:rsidP="00695A1B">
            <w:pPr>
              <w:spacing w:after="120"/>
              <w:rPr>
                <w:rFonts w:eastAsia="Times New Roman" w:cstheme="minorHAnsi"/>
                <w:lang w:eastAsia="en-AU"/>
              </w:rPr>
            </w:pPr>
            <w:r>
              <w:rPr>
                <w:rFonts w:eastAsia="Times New Roman" w:cstheme="minorHAnsi"/>
                <w:lang w:eastAsia="en-AU"/>
              </w:rPr>
              <w:t>Info@ Coordinator</w:t>
            </w:r>
          </w:p>
        </w:tc>
      </w:tr>
    </w:tbl>
    <w:p w14:paraId="5750EDB3" w14:textId="77777777" w:rsidR="00333C4D" w:rsidRPr="00432774" w:rsidRDefault="00333C4D">
      <w:pPr>
        <w:rPr>
          <w:rFonts w:eastAsia="Times New Roman" w:cstheme="minorHAnsi"/>
          <w:lang w:eastAsia="en-AU"/>
        </w:rPr>
      </w:pPr>
      <w:r>
        <w:rPr>
          <w:rFonts w:eastAsia="Times New Roman" w:cstheme="minorHAnsi"/>
          <w:b/>
          <w:bCs/>
          <w:lang w:eastAsia="en-AU"/>
        </w:rPr>
        <w:br w:type="page"/>
      </w:r>
    </w:p>
    <w:p w14:paraId="690B76E4" w14:textId="41AC87A0" w:rsidR="00695A1B" w:rsidRPr="00E13C3A" w:rsidRDefault="00414E2A" w:rsidP="006E0ACE">
      <w:pPr>
        <w:pStyle w:val="AppendixH2"/>
      </w:pPr>
      <w:r w:rsidRPr="00E13C3A">
        <w:lastRenderedPageBreak/>
        <w:t>Consultation</w:t>
      </w:r>
    </w:p>
    <w:tbl>
      <w:tblPr>
        <w:tblStyle w:val="ListTable3-Accent4"/>
        <w:tblW w:w="14124" w:type="dxa"/>
        <w:tblLook w:val="0020" w:firstRow="1" w:lastRow="0" w:firstColumn="0" w:lastColumn="0" w:noHBand="0" w:noVBand="0"/>
      </w:tblPr>
      <w:tblGrid>
        <w:gridCol w:w="8563"/>
        <w:gridCol w:w="3071"/>
        <w:gridCol w:w="2490"/>
      </w:tblGrid>
      <w:tr w:rsidR="000C74E8" w:rsidRPr="007939AB" w14:paraId="766CA694" w14:textId="62AD07C6"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563" w:type="dxa"/>
            <w:tcBorders>
              <w:top w:val="single" w:sz="8" w:space="0" w:color="FFFFFF" w:themeColor="background1"/>
              <w:bottom w:val="single" w:sz="4" w:space="0" w:color="9983B5" w:themeColor="accent4"/>
              <w:right w:val="single" w:sz="8" w:space="0" w:color="FFFFFF" w:themeColor="background1"/>
            </w:tcBorders>
            <w:vAlign w:val="center"/>
          </w:tcPr>
          <w:p w14:paraId="71241DF4" w14:textId="1AD97A1C" w:rsidR="000C74E8" w:rsidRPr="007939AB" w:rsidRDefault="000C74E8" w:rsidP="007939AB">
            <w:r w:rsidRPr="007939AB">
              <w:t xml:space="preserve">People with disability have the same opportunities as other people to participate in public consultation by </w:t>
            </w:r>
            <w:r w:rsidR="00C93576">
              <w:t>the A</w:t>
            </w:r>
            <w:r w:rsidRPr="007939AB">
              <w:t>uthority.</w:t>
            </w:r>
          </w:p>
        </w:tc>
        <w:tc>
          <w:tcPr>
            <w:tcW w:w="3071" w:type="dxa"/>
            <w:tcBorders>
              <w:top w:val="single" w:sz="8" w:space="0" w:color="FFFFFF" w:themeColor="background1"/>
              <w:left w:val="single" w:sz="8" w:space="0" w:color="FFFFFF" w:themeColor="background1"/>
              <w:bottom w:val="single" w:sz="4" w:space="0" w:color="9983B5" w:themeColor="accent4"/>
              <w:right w:val="single" w:sz="8" w:space="0" w:color="FFFFFF" w:themeColor="background1"/>
            </w:tcBorders>
            <w:vAlign w:val="center"/>
          </w:tcPr>
          <w:p w14:paraId="119E0684" w14:textId="218250DD" w:rsidR="000C74E8" w:rsidRPr="007939AB" w:rsidRDefault="000C74E8" w:rsidP="007939AB">
            <w:pPr>
              <w:cnfStyle w:val="100000000000" w:firstRow="1" w:lastRow="0" w:firstColumn="0" w:lastColumn="0" w:oddVBand="0" w:evenVBand="0" w:oddHBand="0" w:evenHBand="0" w:firstRowFirstColumn="0" w:firstRowLastColumn="0" w:lastRowFirstColumn="0" w:lastRowLastColumn="0"/>
            </w:pPr>
            <w:r w:rsidRPr="007939AB">
              <w:t>Time</w:t>
            </w:r>
            <w:r w:rsidR="00275B4C" w:rsidRPr="007939AB">
              <w:t>frame</w:t>
            </w:r>
          </w:p>
        </w:tc>
        <w:tc>
          <w:tcPr>
            <w:cnfStyle w:val="000010000000" w:firstRow="0" w:lastRow="0" w:firstColumn="0" w:lastColumn="0" w:oddVBand="1" w:evenVBand="0" w:oddHBand="0" w:evenHBand="0" w:firstRowFirstColumn="0" w:firstRowLastColumn="0" w:lastRowFirstColumn="0" w:lastRowLastColumn="0"/>
            <w:tcW w:w="2490" w:type="dxa"/>
            <w:tcBorders>
              <w:top w:val="single" w:sz="8" w:space="0" w:color="FFFFFF" w:themeColor="background1"/>
              <w:left w:val="single" w:sz="8" w:space="0" w:color="FFFFFF" w:themeColor="background1"/>
              <w:bottom w:val="single" w:sz="4" w:space="0" w:color="9983B5" w:themeColor="accent4"/>
            </w:tcBorders>
            <w:vAlign w:val="center"/>
          </w:tcPr>
          <w:p w14:paraId="23101976" w14:textId="60C99866" w:rsidR="000C74E8" w:rsidRPr="007939AB" w:rsidRDefault="000C74E8" w:rsidP="007939AB">
            <w:r w:rsidRPr="007939AB">
              <w:t>Responsibility</w:t>
            </w:r>
          </w:p>
        </w:tc>
      </w:tr>
      <w:tr w:rsidR="000C74E8" w:rsidRPr="00E13C3A" w14:paraId="4015EB7B" w14:textId="3BAD983D"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63" w:type="dxa"/>
          </w:tcPr>
          <w:p w14:paraId="02FE1535" w14:textId="242E37CD" w:rsidR="00333C4D" w:rsidRPr="00E13C3A" w:rsidRDefault="007E5467" w:rsidP="005215F8">
            <w:pPr>
              <w:pStyle w:val="Appendix3"/>
            </w:pPr>
            <w:r>
              <w:t>P</w:t>
            </w:r>
            <w:r>
              <w:rPr>
                <w:rFonts w:ascii="Calibri" w:hAnsi="Calibri" w:cs="Calibri"/>
              </w:rPr>
              <w:t>romotion</w:t>
            </w:r>
            <w:r w:rsidR="00BD3DAC" w:rsidRPr="00424921">
              <w:rPr>
                <w:rFonts w:ascii="Calibri" w:hAnsi="Calibri" w:cs="Calibri"/>
              </w:rPr>
              <w:t xml:space="preserve"> of events and services to allow more people to participate</w:t>
            </w:r>
            <w:r w:rsidR="00333C4D">
              <w:t xml:space="preserve">: </w:t>
            </w:r>
          </w:p>
          <w:p w14:paraId="68804B7F" w14:textId="52F8A23F" w:rsidR="00333C4D" w:rsidRPr="00675EED" w:rsidRDefault="00C93576" w:rsidP="005215F8">
            <w:pPr>
              <w:pStyle w:val="ListParagraph"/>
              <w:numPr>
                <w:ilvl w:val="0"/>
                <w:numId w:val="2"/>
              </w:numPr>
              <w:spacing w:after="120"/>
              <w:rPr>
                <w:rFonts w:eastAsia="Times New Roman" w:cstheme="minorHAnsi"/>
                <w:lang w:eastAsia="en-AU"/>
              </w:rPr>
            </w:pPr>
            <w:r>
              <w:rPr>
                <w:rFonts w:eastAsia="Times New Roman" w:cstheme="minorHAnsi"/>
                <w:lang w:eastAsia="en-AU"/>
              </w:rPr>
              <w:t>p</w:t>
            </w:r>
            <w:r w:rsidR="00333C4D" w:rsidRPr="00675EED">
              <w:rPr>
                <w:rFonts w:eastAsia="Times New Roman" w:cstheme="minorHAnsi"/>
                <w:lang w:eastAsia="en-AU"/>
              </w:rPr>
              <w:t xml:space="preserve">resentations to Principals </w:t>
            </w:r>
          </w:p>
          <w:p w14:paraId="1CDD3EA7" w14:textId="204D45E5" w:rsidR="00333C4D" w:rsidRPr="00675EED" w:rsidRDefault="008B518D" w:rsidP="005215F8">
            <w:pPr>
              <w:pStyle w:val="ListParagraph"/>
              <w:numPr>
                <w:ilvl w:val="0"/>
                <w:numId w:val="2"/>
              </w:numPr>
              <w:spacing w:after="120"/>
              <w:rPr>
                <w:rFonts w:eastAsia="Times New Roman" w:cstheme="minorHAnsi"/>
                <w:lang w:eastAsia="en-AU"/>
              </w:rPr>
            </w:pPr>
            <w:r>
              <w:rPr>
                <w:rFonts w:eastAsia="Times New Roman" w:cstheme="minorHAnsi"/>
                <w:lang w:eastAsia="en-AU"/>
              </w:rPr>
              <w:t>r</w:t>
            </w:r>
            <w:r w:rsidR="00333C4D" w:rsidRPr="00675EED">
              <w:rPr>
                <w:rFonts w:eastAsia="Times New Roman" w:cstheme="minorHAnsi"/>
                <w:lang w:eastAsia="en-AU"/>
              </w:rPr>
              <w:t xml:space="preserve">elationship building with system/sectors representative bodies </w:t>
            </w:r>
          </w:p>
          <w:p w14:paraId="413F778C" w14:textId="66F352C1" w:rsidR="00BE074B" w:rsidRPr="007939AB" w:rsidRDefault="00333C4D" w:rsidP="005215F8">
            <w:pPr>
              <w:pStyle w:val="ListParagraph"/>
              <w:numPr>
                <w:ilvl w:val="0"/>
                <w:numId w:val="2"/>
              </w:numPr>
              <w:spacing w:after="120"/>
              <w:rPr>
                <w:rFonts w:eastAsia="Times New Roman" w:cstheme="minorHAnsi"/>
                <w:lang w:eastAsia="en-AU"/>
              </w:rPr>
            </w:pPr>
            <w:r w:rsidRPr="00675EED">
              <w:rPr>
                <w:rFonts w:eastAsia="Times New Roman" w:cstheme="minorHAnsi"/>
                <w:lang w:eastAsia="en-AU"/>
              </w:rPr>
              <w:t>eCirculars</w:t>
            </w:r>
          </w:p>
        </w:tc>
        <w:tc>
          <w:tcPr>
            <w:tcW w:w="3071" w:type="dxa"/>
          </w:tcPr>
          <w:p w14:paraId="5B00930B" w14:textId="78E2EE4E" w:rsidR="000C74E8" w:rsidRPr="00333C4D" w:rsidRDefault="00675EED" w:rsidP="00333C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490" w:type="dxa"/>
          </w:tcPr>
          <w:p w14:paraId="167D0658" w14:textId="0A257D61" w:rsidR="00675EED" w:rsidRDefault="00675EED" w:rsidP="00414E2A">
            <w:pPr>
              <w:spacing w:after="120"/>
              <w:rPr>
                <w:rFonts w:eastAsia="Times New Roman" w:cstheme="minorHAnsi"/>
                <w:lang w:eastAsia="en-AU"/>
              </w:rPr>
            </w:pPr>
            <w:r>
              <w:rPr>
                <w:rFonts w:eastAsia="Times New Roman" w:cstheme="minorHAnsi"/>
                <w:lang w:eastAsia="en-AU"/>
              </w:rPr>
              <w:t>Executive Director and Assistant Executive Directors</w:t>
            </w:r>
          </w:p>
          <w:p w14:paraId="5ED84AAF" w14:textId="73880B30" w:rsidR="00675EED" w:rsidRDefault="00675EED" w:rsidP="00414E2A">
            <w:pPr>
              <w:spacing w:after="120"/>
              <w:rPr>
                <w:rFonts w:eastAsia="Times New Roman" w:cstheme="minorHAnsi"/>
                <w:lang w:eastAsia="en-AU"/>
              </w:rPr>
            </w:pPr>
            <w:r>
              <w:rPr>
                <w:rFonts w:eastAsia="Times New Roman" w:cstheme="minorHAnsi"/>
                <w:lang w:eastAsia="en-AU"/>
              </w:rPr>
              <w:t>Team Managers</w:t>
            </w:r>
          </w:p>
          <w:p w14:paraId="0DB623DF" w14:textId="7A060D72" w:rsidR="000C74E8" w:rsidRDefault="000C74E8" w:rsidP="00675EED">
            <w:pPr>
              <w:spacing w:after="120"/>
              <w:rPr>
                <w:rFonts w:eastAsia="Times New Roman" w:cstheme="minorHAnsi"/>
                <w:lang w:eastAsia="en-AU"/>
              </w:rPr>
            </w:pPr>
            <w:r>
              <w:rPr>
                <w:rFonts w:eastAsia="Times New Roman" w:cstheme="minorHAnsi"/>
                <w:lang w:eastAsia="en-AU"/>
              </w:rPr>
              <w:t>Manager Publications</w:t>
            </w:r>
            <w:r w:rsidR="00861913">
              <w:rPr>
                <w:rFonts w:eastAsia="Times New Roman" w:cstheme="minorHAnsi"/>
                <w:lang w:eastAsia="en-AU"/>
              </w:rPr>
              <w:t xml:space="preserve"> –</w:t>
            </w:r>
            <w:r w:rsidR="00861913">
              <w:t xml:space="preserve"> </w:t>
            </w:r>
            <w:r>
              <w:rPr>
                <w:rFonts w:eastAsia="Times New Roman" w:cstheme="minorHAnsi"/>
                <w:lang w:eastAsia="en-AU"/>
              </w:rPr>
              <w:t>and Communications</w:t>
            </w:r>
          </w:p>
        </w:tc>
      </w:tr>
      <w:tr w:rsidR="000C74E8" w:rsidRPr="00E13C3A" w14:paraId="32CA0670" w14:textId="1F8ACEF9" w:rsidTr="007939AB">
        <w:tc>
          <w:tcPr>
            <w:cnfStyle w:val="000010000000" w:firstRow="0" w:lastRow="0" w:firstColumn="0" w:lastColumn="0" w:oddVBand="1" w:evenVBand="0" w:oddHBand="0" w:evenHBand="0" w:firstRowFirstColumn="0" w:firstRowLastColumn="0" w:lastRowFirstColumn="0" w:lastRowLastColumn="0"/>
            <w:tcW w:w="8563" w:type="dxa"/>
          </w:tcPr>
          <w:p w14:paraId="23F7A966" w14:textId="263E9A51" w:rsidR="00A50902" w:rsidRPr="00E13C3A" w:rsidRDefault="00BE074B" w:rsidP="005215F8">
            <w:pPr>
              <w:pStyle w:val="Appendix3"/>
            </w:pPr>
            <w:r>
              <w:t>E</w:t>
            </w:r>
            <w:r w:rsidR="00331D48">
              <w:t xml:space="preserve">stablish a </w:t>
            </w:r>
            <w:r w:rsidR="00A50902" w:rsidRPr="008470BF">
              <w:t>DAIP Working Group to monitor, review and promote DAIP strategies</w:t>
            </w:r>
            <w:r>
              <w:t>.</w:t>
            </w:r>
          </w:p>
        </w:tc>
        <w:tc>
          <w:tcPr>
            <w:tcW w:w="3071" w:type="dxa"/>
          </w:tcPr>
          <w:p w14:paraId="49CF5A5A" w14:textId="5319979A" w:rsidR="00331D48" w:rsidRPr="00E13C3A" w:rsidRDefault="00331D48" w:rsidP="00695A1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June 2023</w:t>
            </w:r>
          </w:p>
        </w:tc>
        <w:tc>
          <w:tcPr>
            <w:cnfStyle w:val="000010000000" w:firstRow="0" w:lastRow="0" w:firstColumn="0" w:lastColumn="0" w:oddVBand="1" w:evenVBand="0" w:oddHBand="0" w:evenHBand="0" w:firstRowFirstColumn="0" w:firstRowLastColumn="0" w:lastRowFirstColumn="0" w:lastRowLastColumn="0"/>
            <w:tcW w:w="2490" w:type="dxa"/>
          </w:tcPr>
          <w:p w14:paraId="722FED7F" w14:textId="421E788C" w:rsidR="000C74E8" w:rsidRDefault="000C74E8" w:rsidP="00695A1B">
            <w:pPr>
              <w:spacing w:after="120"/>
              <w:rPr>
                <w:rFonts w:eastAsia="Times New Roman" w:cstheme="minorHAnsi"/>
                <w:lang w:eastAsia="en-AU"/>
              </w:rPr>
            </w:pPr>
            <w:r w:rsidRPr="000C74E8">
              <w:rPr>
                <w:rFonts w:eastAsia="Times New Roman" w:cstheme="minorHAnsi"/>
                <w:lang w:eastAsia="en-AU"/>
              </w:rPr>
              <w:t xml:space="preserve">DAIP </w:t>
            </w:r>
            <w:r w:rsidR="00A50902">
              <w:rPr>
                <w:rFonts w:eastAsia="Times New Roman" w:cstheme="minorHAnsi"/>
                <w:lang w:eastAsia="en-AU"/>
              </w:rPr>
              <w:t>Working</w:t>
            </w:r>
            <w:r w:rsidRPr="000C74E8">
              <w:rPr>
                <w:rFonts w:eastAsia="Times New Roman" w:cstheme="minorHAnsi"/>
                <w:lang w:eastAsia="en-AU"/>
              </w:rPr>
              <w:t xml:space="preserve"> Group</w:t>
            </w:r>
          </w:p>
          <w:p w14:paraId="10750246" w14:textId="54D07CF7" w:rsidR="000C74E8" w:rsidRDefault="00C86F1B" w:rsidP="00695A1B">
            <w:pPr>
              <w:spacing w:after="120"/>
              <w:rPr>
                <w:rFonts w:eastAsia="Times New Roman" w:cstheme="minorHAnsi"/>
                <w:lang w:eastAsia="en-AU"/>
              </w:rPr>
            </w:pPr>
            <w:r>
              <w:rPr>
                <w:rFonts w:eastAsia="Times New Roman" w:cstheme="minorHAnsi"/>
                <w:lang w:eastAsia="en-AU"/>
              </w:rPr>
              <w:t xml:space="preserve">Principal Consultant </w:t>
            </w:r>
            <w:r w:rsidR="00861913">
              <w:rPr>
                <w:rFonts w:eastAsia="Times New Roman" w:cstheme="minorHAnsi"/>
                <w:lang w:eastAsia="en-AU"/>
              </w:rPr>
              <w:t>–</w:t>
            </w:r>
            <w:r>
              <w:rPr>
                <w:rFonts w:eastAsia="Times New Roman" w:cstheme="minorHAnsi"/>
                <w:lang w:eastAsia="en-AU"/>
              </w:rPr>
              <w:t>Executive Services</w:t>
            </w:r>
          </w:p>
          <w:p w14:paraId="2B32D956" w14:textId="5BDA95E4" w:rsidR="00C86F1B" w:rsidRPr="00E13C3A" w:rsidRDefault="00612FAD" w:rsidP="00695A1B">
            <w:pPr>
              <w:spacing w:after="120"/>
              <w:rPr>
                <w:rFonts w:eastAsia="Times New Roman" w:cstheme="minorHAnsi"/>
                <w:highlight w:val="yellow"/>
                <w:lang w:eastAsia="en-AU"/>
              </w:rPr>
            </w:pPr>
            <w:r w:rsidRPr="00331D48">
              <w:rPr>
                <w:rFonts w:eastAsia="Times New Roman" w:cstheme="minorHAnsi"/>
                <w:lang w:eastAsia="en-AU"/>
              </w:rPr>
              <w:t xml:space="preserve">Executive </w:t>
            </w:r>
            <w:r w:rsidR="00331D48" w:rsidRPr="00331D48">
              <w:rPr>
                <w:rFonts w:eastAsia="Times New Roman" w:cstheme="minorHAnsi"/>
                <w:lang w:eastAsia="en-AU"/>
              </w:rPr>
              <w:t>G</w:t>
            </w:r>
            <w:r w:rsidRPr="00331D48">
              <w:rPr>
                <w:rFonts w:eastAsia="Times New Roman" w:cstheme="minorHAnsi"/>
                <w:lang w:eastAsia="en-AU"/>
              </w:rPr>
              <w:t>roup</w:t>
            </w:r>
          </w:p>
        </w:tc>
      </w:tr>
      <w:tr w:rsidR="000C74E8" w:rsidRPr="00E13C3A" w14:paraId="6B992674" w14:textId="58C87888"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63" w:type="dxa"/>
          </w:tcPr>
          <w:p w14:paraId="67646F72" w14:textId="1163F688" w:rsidR="005215F8" w:rsidRDefault="00C93576" w:rsidP="005215F8">
            <w:pPr>
              <w:pStyle w:val="Appendix3"/>
              <w:spacing w:after="120"/>
            </w:pPr>
            <w:r>
              <w:t xml:space="preserve">Include </w:t>
            </w:r>
            <w:r w:rsidR="009A13A7">
              <w:t xml:space="preserve">DAIP as </w:t>
            </w:r>
            <w:r w:rsidR="000C74E8" w:rsidRPr="00E13C3A">
              <w:t>a</w:t>
            </w:r>
            <w:r>
              <w:t>n element that informs the review of</w:t>
            </w:r>
            <w:r w:rsidR="00612FAD">
              <w:t xml:space="preserve"> the </w:t>
            </w:r>
            <w:r w:rsidR="00612FAD" w:rsidRPr="00C93576">
              <w:rPr>
                <w:i/>
                <w:iCs/>
              </w:rPr>
              <w:t>School Curriculum and Standards Authority Strategic Plan</w:t>
            </w:r>
            <w:r>
              <w:rPr>
                <w:i/>
                <w:iCs/>
              </w:rPr>
              <w:t xml:space="preserve"> 2021–2023</w:t>
            </w:r>
            <w:r>
              <w:t>.</w:t>
            </w:r>
          </w:p>
          <w:p w14:paraId="0B65C511" w14:textId="54DE18A6" w:rsidR="00331D48" w:rsidRPr="00E13C3A" w:rsidRDefault="00331D48" w:rsidP="005215F8">
            <w:pPr>
              <w:pStyle w:val="Appendix3"/>
              <w:numPr>
                <w:ilvl w:val="0"/>
                <w:numId w:val="0"/>
              </w:numPr>
              <w:ind w:left="357"/>
            </w:pPr>
            <w:r>
              <w:t xml:space="preserve">High-level strategic priorities are documented in the </w:t>
            </w:r>
            <w:r w:rsidRPr="00C86F1B">
              <w:rPr>
                <w:i/>
              </w:rPr>
              <w:t>School Curriculum and Standards Authority Strategic Plan 2021</w:t>
            </w:r>
            <w:r w:rsidR="00C462C9">
              <w:rPr>
                <w:i/>
              </w:rPr>
              <w:t>–</w:t>
            </w:r>
            <w:r w:rsidRPr="00C86F1B">
              <w:rPr>
                <w:i/>
              </w:rPr>
              <w:t>2023</w:t>
            </w:r>
            <w:r>
              <w:rPr>
                <w:i/>
              </w:rPr>
              <w:t xml:space="preserve">. </w:t>
            </w:r>
            <w:r>
              <w:t xml:space="preserve">Priority 3: </w:t>
            </w:r>
            <w:r w:rsidR="00C462C9">
              <w:t>c</w:t>
            </w:r>
            <w:r>
              <w:t xml:space="preserve">ommunication, engagement and partnerships </w:t>
            </w:r>
            <w:r w:rsidR="00405C2B">
              <w:t>focus</w:t>
            </w:r>
            <w:r>
              <w:t xml:space="preserve"> on consultative strategies.</w:t>
            </w:r>
          </w:p>
        </w:tc>
        <w:tc>
          <w:tcPr>
            <w:tcW w:w="3071" w:type="dxa"/>
          </w:tcPr>
          <w:p w14:paraId="54BCD736" w14:textId="2CA57D04" w:rsidR="000C74E8" w:rsidRPr="00E13C3A" w:rsidRDefault="00331D48" w:rsidP="00C86F1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Pr>
                <w:rFonts w:eastAsia="Times New Roman" w:cstheme="minorHAnsi"/>
                <w:lang w:eastAsia="en-AU"/>
              </w:rPr>
              <w:t>June 202</w:t>
            </w:r>
            <w:r w:rsidR="00C93576">
              <w:rPr>
                <w:rFonts w:eastAsia="Times New Roman" w:cstheme="minorHAnsi"/>
                <w:lang w:eastAsia="en-AU"/>
              </w:rPr>
              <w:t>4</w:t>
            </w:r>
          </w:p>
        </w:tc>
        <w:tc>
          <w:tcPr>
            <w:cnfStyle w:val="000010000000" w:firstRow="0" w:lastRow="0" w:firstColumn="0" w:lastColumn="0" w:oddVBand="1" w:evenVBand="0" w:oddHBand="0" w:evenHBand="0" w:firstRowFirstColumn="0" w:firstRowLastColumn="0" w:lastRowFirstColumn="0" w:lastRowLastColumn="0"/>
            <w:tcW w:w="2490" w:type="dxa"/>
          </w:tcPr>
          <w:p w14:paraId="1DC69ED9" w14:textId="716D7C9E" w:rsidR="00C86F1B" w:rsidRDefault="00C86F1B" w:rsidP="00695A1B">
            <w:pPr>
              <w:spacing w:after="120"/>
              <w:rPr>
                <w:rFonts w:eastAsia="Times New Roman" w:cstheme="minorHAnsi"/>
                <w:lang w:eastAsia="en-AU"/>
              </w:rPr>
            </w:pPr>
            <w:r>
              <w:rPr>
                <w:rFonts w:eastAsia="Times New Roman" w:cstheme="minorHAnsi"/>
                <w:lang w:eastAsia="en-AU"/>
              </w:rPr>
              <w:t>Executive Group</w:t>
            </w:r>
          </w:p>
          <w:p w14:paraId="1DC4CD67" w14:textId="3F045852" w:rsidR="00C86F1B" w:rsidRPr="00E13C3A" w:rsidRDefault="005D1CCF" w:rsidP="00695A1B">
            <w:pPr>
              <w:spacing w:after="120"/>
              <w:rPr>
                <w:rFonts w:eastAsia="Times New Roman" w:cstheme="minorHAnsi"/>
                <w:lang w:eastAsia="en-AU"/>
              </w:rPr>
            </w:pPr>
            <w:r>
              <w:rPr>
                <w:rFonts w:eastAsia="Times New Roman" w:cstheme="minorHAnsi"/>
                <w:lang w:eastAsia="en-AU"/>
              </w:rPr>
              <w:t xml:space="preserve">Manager </w:t>
            </w:r>
            <w:r w:rsidR="00861913">
              <w:rPr>
                <w:rFonts w:eastAsia="Times New Roman" w:cstheme="minorHAnsi"/>
                <w:lang w:eastAsia="en-AU"/>
              </w:rPr>
              <w:t xml:space="preserve">– </w:t>
            </w:r>
            <w:r>
              <w:rPr>
                <w:rFonts w:eastAsia="Times New Roman" w:cstheme="minorHAnsi"/>
                <w:lang w:eastAsia="en-AU"/>
              </w:rPr>
              <w:t>Pub</w:t>
            </w:r>
            <w:r w:rsidR="00331D48">
              <w:rPr>
                <w:rFonts w:eastAsia="Times New Roman" w:cstheme="minorHAnsi"/>
                <w:lang w:eastAsia="en-AU"/>
              </w:rPr>
              <w:t>lication</w:t>
            </w:r>
            <w:r>
              <w:rPr>
                <w:rFonts w:eastAsia="Times New Roman" w:cstheme="minorHAnsi"/>
                <w:lang w:eastAsia="en-AU"/>
              </w:rPr>
              <w:t>s</w:t>
            </w:r>
            <w:r w:rsidR="00861913">
              <w:t xml:space="preserve"> </w:t>
            </w:r>
            <w:r>
              <w:rPr>
                <w:rFonts w:eastAsia="Times New Roman" w:cstheme="minorHAnsi"/>
                <w:lang w:eastAsia="en-AU"/>
              </w:rPr>
              <w:t>and Comm</w:t>
            </w:r>
            <w:r w:rsidR="00331D48">
              <w:rPr>
                <w:rFonts w:eastAsia="Times New Roman" w:cstheme="minorHAnsi"/>
                <w:lang w:eastAsia="en-AU"/>
              </w:rPr>
              <w:t>unication</w:t>
            </w:r>
          </w:p>
        </w:tc>
      </w:tr>
    </w:tbl>
    <w:p w14:paraId="7D42405E" w14:textId="77777777" w:rsidR="00333C4D" w:rsidRDefault="00333C4D">
      <w:pPr>
        <w:rPr>
          <w:rFonts w:eastAsia="Times New Roman" w:cstheme="minorHAnsi"/>
          <w:b/>
          <w:bCs/>
          <w:lang w:eastAsia="en-AU"/>
        </w:rPr>
      </w:pPr>
      <w:r>
        <w:rPr>
          <w:rFonts w:eastAsia="Times New Roman" w:cstheme="minorHAnsi"/>
          <w:b/>
          <w:bCs/>
          <w:lang w:eastAsia="en-AU"/>
        </w:rPr>
        <w:br w:type="page"/>
      </w:r>
    </w:p>
    <w:p w14:paraId="37B7C405" w14:textId="12DBE08A" w:rsidR="00695A1B" w:rsidRDefault="00837193" w:rsidP="006E0ACE">
      <w:pPr>
        <w:pStyle w:val="AppendixH2"/>
      </w:pPr>
      <w:r w:rsidRPr="00E13C3A">
        <w:lastRenderedPageBreak/>
        <w:t>Employment</w:t>
      </w:r>
    </w:p>
    <w:p w14:paraId="3446B94E" w14:textId="29D58FA9" w:rsidR="00861913" w:rsidRDefault="00861913" w:rsidP="00861913">
      <w:pPr>
        <w:spacing w:after="120" w:line="240" w:lineRule="auto"/>
        <w:rPr>
          <w:rFonts w:eastAsia="Times New Roman" w:cstheme="minorHAnsi"/>
          <w:lang w:eastAsia="en-AU"/>
        </w:rPr>
      </w:pPr>
      <w:r w:rsidRPr="00E13C3A">
        <w:rPr>
          <w:rFonts w:eastAsia="Times New Roman" w:cstheme="minorHAnsi"/>
          <w:lang w:eastAsia="en-AU"/>
        </w:rPr>
        <w:t xml:space="preserve">The Authority has a Service Level Agreement with the Department of Education (the Department) to provide </w:t>
      </w:r>
      <w:r w:rsidR="00AC079D">
        <w:rPr>
          <w:rFonts w:eastAsia="Times New Roman" w:cstheme="minorHAnsi"/>
          <w:lang w:eastAsia="en-AU"/>
        </w:rPr>
        <w:t xml:space="preserve">a </w:t>
      </w:r>
      <w:r w:rsidRPr="00E13C3A">
        <w:rPr>
          <w:rFonts w:eastAsia="Times New Roman" w:cstheme="minorHAnsi"/>
          <w:lang w:eastAsia="en-AU"/>
        </w:rPr>
        <w:t>secretariat</w:t>
      </w:r>
      <w:r w:rsidR="00AC079D">
        <w:rPr>
          <w:rFonts w:eastAsia="Times New Roman" w:cstheme="minorHAnsi"/>
          <w:lang w:eastAsia="en-AU"/>
        </w:rPr>
        <w:t>,</w:t>
      </w:r>
      <w:r w:rsidRPr="00E13C3A">
        <w:rPr>
          <w:rFonts w:eastAsia="Times New Roman" w:cstheme="minorHAnsi"/>
          <w:lang w:eastAsia="en-AU"/>
        </w:rPr>
        <w:t xml:space="preserve"> including staffing and corporate services</w:t>
      </w:r>
      <w:r w:rsidR="00AC079D">
        <w:rPr>
          <w:rFonts w:eastAsia="Times New Roman" w:cstheme="minorHAnsi"/>
          <w:lang w:eastAsia="en-AU"/>
        </w:rPr>
        <w:t>,</w:t>
      </w:r>
      <w:r w:rsidRPr="00E13C3A">
        <w:rPr>
          <w:rFonts w:eastAsia="Times New Roman" w:cstheme="minorHAnsi"/>
          <w:lang w:eastAsia="en-AU"/>
        </w:rPr>
        <w:t xml:space="preserve"> to enable the Authority to fulfil its functions. The Department plans and implements improvements to access and inclusion in relation to employment, staffing, finance, building and facilities. </w:t>
      </w:r>
      <w:r w:rsidR="00C93576">
        <w:rPr>
          <w:rFonts w:eastAsia="Times New Roman" w:cstheme="minorHAnsi"/>
          <w:lang w:eastAsia="en-AU"/>
        </w:rPr>
        <w:t>Recruitment of e</w:t>
      </w:r>
      <w:r w:rsidRPr="00E13C3A">
        <w:rPr>
          <w:rFonts w:eastAsia="Times New Roman" w:cstheme="minorHAnsi"/>
          <w:lang w:eastAsia="en-AU"/>
        </w:rPr>
        <w:t>mployees of the</w:t>
      </w:r>
      <w:r w:rsidR="00707AC7" w:rsidRPr="00707AC7">
        <w:rPr>
          <w:rFonts w:eastAsia="Times New Roman" w:cstheme="minorHAnsi"/>
          <w:lang w:eastAsia="en-AU"/>
        </w:rPr>
        <w:t xml:space="preserve"> </w:t>
      </w:r>
      <w:r w:rsidR="00707AC7">
        <w:rPr>
          <w:rFonts w:eastAsia="Times New Roman" w:cstheme="minorHAnsi"/>
          <w:lang w:eastAsia="en-AU"/>
        </w:rPr>
        <w:t>SCS Division</w:t>
      </w:r>
      <w:r w:rsidRPr="00E13C3A">
        <w:rPr>
          <w:rFonts w:eastAsia="Times New Roman" w:cstheme="minorHAnsi"/>
          <w:lang w:eastAsia="en-AU"/>
        </w:rPr>
        <w:t xml:space="preserve"> </w:t>
      </w:r>
      <w:r w:rsidR="00C93576">
        <w:rPr>
          <w:rFonts w:eastAsia="Times New Roman" w:cstheme="minorHAnsi"/>
          <w:lang w:eastAsia="en-AU"/>
        </w:rPr>
        <w:t>is</w:t>
      </w:r>
      <w:r w:rsidRPr="00E13C3A">
        <w:rPr>
          <w:rFonts w:eastAsia="Times New Roman" w:cstheme="minorHAnsi"/>
          <w:lang w:eastAsia="en-AU"/>
        </w:rPr>
        <w:t xml:space="preserve"> governed by the </w:t>
      </w:r>
      <w:r w:rsidR="00707AC7" w:rsidRPr="00E13C3A">
        <w:rPr>
          <w:rFonts w:eastAsia="Times New Roman" w:cstheme="minorHAnsi"/>
          <w:lang w:eastAsia="en-AU"/>
        </w:rPr>
        <w:t>Department</w:t>
      </w:r>
      <w:r w:rsidR="00C93576">
        <w:rPr>
          <w:rFonts w:eastAsia="Times New Roman" w:cstheme="minorHAnsi"/>
          <w:lang w:eastAsia="en-AU"/>
        </w:rPr>
        <w:t>’s</w:t>
      </w:r>
      <w:r w:rsidRPr="00E13C3A">
        <w:rPr>
          <w:rFonts w:eastAsia="Times New Roman" w:cstheme="minorHAnsi"/>
          <w:lang w:eastAsia="en-AU"/>
        </w:rPr>
        <w:t xml:space="preserve"> policies, procedures and processes.</w:t>
      </w:r>
    </w:p>
    <w:p w14:paraId="0494EFC7" w14:textId="082AFC4A" w:rsidR="00861913" w:rsidRPr="00861913" w:rsidRDefault="00861913" w:rsidP="00861913">
      <w:r>
        <w:rPr>
          <w:rFonts w:eastAsia="Times New Roman" w:cstheme="minorHAnsi"/>
          <w:lang w:eastAsia="en-AU"/>
        </w:rPr>
        <w:t>Outcome 7</w:t>
      </w:r>
      <w:r w:rsidR="00707AC7">
        <w:rPr>
          <w:rFonts w:eastAsia="Times New Roman" w:cstheme="minorHAnsi"/>
          <w:lang w:eastAsia="en-AU"/>
        </w:rPr>
        <w:t>:</w:t>
      </w:r>
      <w:r>
        <w:rPr>
          <w:rFonts w:eastAsia="Times New Roman" w:cstheme="minorHAnsi"/>
          <w:lang w:eastAsia="en-AU"/>
        </w:rPr>
        <w:t xml:space="preserve"> Employment is covered in the Department of Education’s </w:t>
      </w:r>
      <w:r w:rsidRPr="00AC079D">
        <w:rPr>
          <w:rFonts w:eastAsia="Times New Roman" w:cstheme="minorHAnsi"/>
          <w:i/>
          <w:iCs/>
          <w:lang w:eastAsia="en-AU"/>
        </w:rPr>
        <w:t>Disability Access and Inclusion Plan 2018–2023</w:t>
      </w:r>
      <w:r>
        <w:rPr>
          <w:rFonts w:eastAsia="Times New Roman" w:cstheme="minorHAnsi"/>
          <w:lang w:eastAsia="en-AU"/>
        </w:rPr>
        <w:t>.</w:t>
      </w:r>
    </w:p>
    <w:tbl>
      <w:tblPr>
        <w:tblStyle w:val="ListTable3-Accent4"/>
        <w:tblW w:w="13993" w:type="dxa"/>
        <w:tblLook w:val="0020" w:firstRow="1" w:lastRow="0" w:firstColumn="0" w:lastColumn="0" w:noHBand="0" w:noVBand="0"/>
      </w:tblPr>
      <w:tblGrid>
        <w:gridCol w:w="8761"/>
        <w:gridCol w:w="2854"/>
        <w:gridCol w:w="2378"/>
      </w:tblGrid>
      <w:tr w:rsidR="00A50902" w:rsidRPr="007939AB" w14:paraId="6258F7B9" w14:textId="77777777" w:rsidTr="007939AB">
        <w:trPr>
          <w:cnfStyle w:val="100000000000" w:firstRow="1" w:lastRow="0" w:firstColumn="0" w:lastColumn="0" w:oddVBand="0" w:evenVBand="0" w:oddHBand="0"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761" w:type="dxa"/>
            <w:tcBorders>
              <w:top w:val="single" w:sz="8" w:space="0" w:color="FFFFFF" w:themeColor="background1"/>
              <w:bottom w:val="nil"/>
              <w:right w:val="single" w:sz="8" w:space="0" w:color="FFFFFF" w:themeColor="background1"/>
            </w:tcBorders>
            <w:vAlign w:val="center"/>
          </w:tcPr>
          <w:p w14:paraId="3AFF4191" w14:textId="0C25C109" w:rsidR="00A50902" w:rsidRPr="007939AB" w:rsidRDefault="00A50902" w:rsidP="007939AB">
            <w:r w:rsidRPr="007939AB">
              <w:t xml:space="preserve">People with disability have the same opportunities as other people to obtain and maintain employment with </w:t>
            </w:r>
            <w:r w:rsidR="00183AE4">
              <w:t>the Authority</w:t>
            </w:r>
            <w:r w:rsidRPr="007939AB">
              <w:t>.</w:t>
            </w:r>
          </w:p>
        </w:tc>
        <w:tc>
          <w:tcPr>
            <w:tcW w:w="2854" w:type="dxa"/>
            <w:tcBorders>
              <w:top w:val="single" w:sz="8" w:space="0" w:color="FFFFFF" w:themeColor="background1"/>
              <w:left w:val="single" w:sz="8" w:space="0" w:color="FFFFFF" w:themeColor="background1"/>
              <w:bottom w:val="nil"/>
              <w:right w:val="single" w:sz="8" w:space="0" w:color="FFFFFF" w:themeColor="background1"/>
            </w:tcBorders>
            <w:vAlign w:val="center"/>
          </w:tcPr>
          <w:p w14:paraId="6D832932" w14:textId="02FCD250" w:rsidR="00A50902" w:rsidRPr="007939AB" w:rsidRDefault="00A50902" w:rsidP="007939AB">
            <w:pPr>
              <w:cnfStyle w:val="100000000000" w:firstRow="1" w:lastRow="0" w:firstColumn="0" w:lastColumn="0" w:oddVBand="0" w:evenVBand="0" w:oddHBand="0" w:evenHBand="0" w:firstRowFirstColumn="0" w:firstRowLastColumn="0" w:lastRowFirstColumn="0" w:lastRowLastColumn="0"/>
            </w:pPr>
            <w:r w:rsidRPr="007939AB">
              <w:t>Timeframe</w:t>
            </w:r>
          </w:p>
        </w:tc>
        <w:tc>
          <w:tcPr>
            <w:cnfStyle w:val="000010000000" w:firstRow="0" w:lastRow="0" w:firstColumn="0" w:lastColumn="0" w:oddVBand="1" w:evenVBand="0" w:oddHBand="0" w:evenHBand="0" w:firstRowFirstColumn="0" w:firstRowLastColumn="0" w:lastRowFirstColumn="0" w:lastRowLastColumn="0"/>
            <w:tcW w:w="2378" w:type="dxa"/>
            <w:tcBorders>
              <w:top w:val="single" w:sz="8" w:space="0" w:color="FFFFFF" w:themeColor="background1"/>
              <w:left w:val="single" w:sz="8" w:space="0" w:color="FFFFFF" w:themeColor="background1"/>
              <w:bottom w:val="nil"/>
            </w:tcBorders>
            <w:vAlign w:val="center"/>
          </w:tcPr>
          <w:p w14:paraId="5BD054FB" w14:textId="77777777" w:rsidR="00A50902" w:rsidRPr="007939AB" w:rsidRDefault="00A50902" w:rsidP="007939AB">
            <w:r w:rsidRPr="007939AB">
              <w:t>Responsibility</w:t>
            </w:r>
          </w:p>
        </w:tc>
      </w:tr>
      <w:tr w:rsidR="00A50902" w:rsidRPr="00E13C3A" w14:paraId="74614C0E" w14:textId="77777777"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61" w:type="dxa"/>
          </w:tcPr>
          <w:p w14:paraId="1B30869A" w14:textId="02E2D74F" w:rsidR="00A50902" w:rsidRPr="00C84C17" w:rsidRDefault="00A50902" w:rsidP="00E2753B">
            <w:pPr>
              <w:spacing w:after="120"/>
              <w:rPr>
                <w:rFonts w:eastAsia="Times New Roman" w:cstheme="minorHAnsi"/>
                <w:lang w:eastAsia="en-AU"/>
              </w:rPr>
            </w:pPr>
            <w:r w:rsidRPr="00E13C3A">
              <w:rPr>
                <w:rFonts w:eastAsia="Times New Roman" w:cstheme="minorHAnsi"/>
                <w:lang w:eastAsia="en-AU"/>
              </w:rPr>
              <w:t xml:space="preserve">7.1 </w:t>
            </w:r>
            <w:r w:rsidR="00331D48">
              <w:rPr>
                <w:rFonts w:eastAsia="Times New Roman" w:cstheme="minorHAnsi"/>
                <w:lang w:eastAsia="en-AU"/>
              </w:rPr>
              <w:t>Practise</w:t>
            </w:r>
            <w:r w:rsidRPr="00E13C3A">
              <w:rPr>
                <w:rFonts w:eastAsia="Times New Roman" w:cstheme="minorHAnsi"/>
                <w:lang w:eastAsia="en-AU"/>
              </w:rPr>
              <w:t xml:space="preserve"> inclusive recruitment practices when</w:t>
            </w:r>
            <w:r>
              <w:rPr>
                <w:rFonts w:eastAsia="Times New Roman" w:cstheme="minorHAnsi"/>
                <w:lang w:eastAsia="en-AU"/>
              </w:rPr>
              <w:t xml:space="preserve"> undertaking recruitment process and</w:t>
            </w:r>
            <w:r w:rsidRPr="00E13C3A">
              <w:rPr>
                <w:rFonts w:eastAsia="Times New Roman" w:cstheme="minorHAnsi"/>
                <w:lang w:eastAsia="en-AU"/>
              </w:rPr>
              <w:t xml:space="preserve"> advertising new positions.</w:t>
            </w:r>
            <w:r>
              <w:rPr>
                <w:rFonts w:eastAsia="Times New Roman" w:cstheme="minorHAnsi"/>
                <w:lang w:eastAsia="en-AU"/>
              </w:rPr>
              <w:t xml:space="preserve"> </w:t>
            </w:r>
          </w:p>
        </w:tc>
        <w:tc>
          <w:tcPr>
            <w:tcW w:w="2854" w:type="dxa"/>
          </w:tcPr>
          <w:p w14:paraId="2FA88A67" w14:textId="3FBF611A" w:rsidR="00A50902" w:rsidRPr="007939AB" w:rsidRDefault="00A50902" w:rsidP="00A5090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r>
              <w:rPr>
                <w:rFonts w:eastAsia="Times New Roman" w:cstheme="minorHAnsi"/>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378" w:type="dxa"/>
          </w:tcPr>
          <w:p w14:paraId="47416C19" w14:textId="77777777" w:rsidR="00A50902" w:rsidRPr="00432774" w:rsidRDefault="00A50902" w:rsidP="00A50902">
            <w:pPr>
              <w:spacing w:after="120"/>
              <w:rPr>
                <w:rFonts w:eastAsia="Times New Roman" w:cstheme="minorHAnsi"/>
                <w:lang w:eastAsia="en-AU"/>
              </w:rPr>
            </w:pPr>
            <w:r w:rsidRPr="00432774">
              <w:rPr>
                <w:rFonts w:eastAsia="Times New Roman" w:cstheme="minorHAnsi"/>
                <w:lang w:eastAsia="en-AU"/>
              </w:rPr>
              <w:t>Team Managers</w:t>
            </w:r>
          </w:p>
          <w:p w14:paraId="6FD25DB1" w14:textId="00822350" w:rsidR="009A13A7" w:rsidRPr="00432774" w:rsidRDefault="009A13A7" w:rsidP="009A13A7">
            <w:pPr>
              <w:spacing w:after="120"/>
              <w:rPr>
                <w:rFonts w:eastAsia="Times New Roman" w:cstheme="minorHAnsi"/>
                <w:lang w:eastAsia="en-AU"/>
              </w:rPr>
            </w:pPr>
            <w:r w:rsidRPr="00432774">
              <w:rPr>
                <w:rFonts w:eastAsia="Times New Roman" w:cstheme="minorHAnsi"/>
                <w:lang w:eastAsia="en-AU"/>
              </w:rPr>
              <w:t>Recruitment Chair and Panel</w:t>
            </w:r>
          </w:p>
        </w:tc>
      </w:tr>
      <w:tr w:rsidR="00A50902" w:rsidRPr="00E13C3A" w14:paraId="2E28447C" w14:textId="77777777" w:rsidTr="007939AB">
        <w:tc>
          <w:tcPr>
            <w:cnfStyle w:val="000010000000" w:firstRow="0" w:lastRow="0" w:firstColumn="0" w:lastColumn="0" w:oddVBand="1" w:evenVBand="0" w:oddHBand="0" w:evenHBand="0" w:firstRowFirstColumn="0" w:firstRowLastColumn="0" w:lastRowFirstColumn="0" w:lastRowLastColumn="0"/>
            <w:tcW w:w="8761" w:type="dxa"/>
          </w:tcPr>
          <w:p w14:paraId="0AC0B362" w14:textId="3AEDF623" w:rsidR="00A50902" w:rsidRPr="00C84C17" w:rsidRDefault="00A50902" w:rsidP="00E2753B">
            <w:pPr>
              <w:spacing w:after="120"/>
              <w:rPr>
                <w:rFonts w:eastAsia="Times New Roman" w:cstheme="minorHAnsi"/>
                <w:lang w:eastAsia="en-AU"/>
              </w:rPr>
            </w:pPr>
            <w:r>
              <w:rPr>
                <w:rFonts w:eastAsia="Times New Roman" w:cstheme="minorHAnsi"/>
                <w:lang w:eastAsia="en-AU"/>
              </w:rPr>
              <w:t xml:space="preserve">7.2 </w:t>
            </w:r>
            <w:r w:rsidRPr="00A50902">
              <w:rPr>
                <w:rFonts w:eastAsia="Times New Roman" w:cstheme="minorHAnsi"/>
                <w:lang w:eastAsia="en-AU"/>
              </w:rPr>
              <w:t xml:space="preserve">Engagement with </w:t>
            </w:r>
            <w:r w:rsidR="00B6296D" w:rsidRPr="00A50902">
              <w:rPr>
                <w:rFonts w:eastAsia="Times New Roman" w:cstheme="minorHAnsi"/>
                <w:lang w:eastAsia="en-AU"/>
              </w:rPr>
              <w:t>providers</w:t>
            </w:r>
            <w:r w:rsidR="00B6296D">
              <w:rPr>
                <w:rFonts w:eastAsia="Times New Roman" w:cstheme="minorHAnsi"/>
                <w:lang w:eastAsia="en-AU"/>
              </w:rPr>
              <w:t xml:space="preserve"> of</w:t>
            </w:r>
            <w:r w:rsidR="00B6296D" w:rsidRPr="00A50902">
              <w:rPr>
                <w:rFonts w:eastAsia="Times New Roman" w:cstheme="minorHAnsi"/>
                <w:lang w:eastAsia="en-AU"/>
              </w:rPr>
              <w:t xml:space="preserve"> </w:t>
            </w:r>
            <w:r w:rsidRPr="00A50902">
              <w:rPr>
                <w:rFonts w:eastAsia="Times New Roman" w:cstheme="minorHAnsi"/>
                <w:lang w:eastAsia="en-AU"/>
              </w:rPr>
              <w:t xml:space="preserve">disability employment </w:t>
            </w:r>
            <w:r w:rsidR="00B6296D">
              <w:rPr>
                <w:rFonts w:eastAsia="Times New Roman" w:cstheme="minorHAnsi"/>
                <w:lang w:eastAsia="en-AU"/>
              </w:rPr>
              <w:t>services</w:t>
            </w:r>
            <w:r w:rsidRPr="00A50902">
              <w:rPr>
                <w:rFonts w:eastAsia="Times New Roman" w:cstheme="minorHAnsi"/>
                <w:lang w:eastAsia="en-AU"/>
              </w:rPr>
              <w:t xml:space="preserve"> </w:t>
            </w:r>
            <w:r w:rsidR="00B6296D">
              <w:rPr>
                <w:rFonts w:eastAsia="Times New Roman" w:cstheme="minorHAnsi"/>
                <w:lang w:eastAsia="en-AU"/>
              </w:rPr>
              <w:t>to attract, recruit and retain staff with disability when required</w:t>
            </w:r>
            <w:r w:rsidRPr="00A50902">
              <w:rPr>
                <w:rFonts w:eastAsia="Times New Roman" w:cstheme="minorHAnsi"/>
                <w:lang w:eastAsia="en-AU"/>
              </w:rPr>
              <w:t>.</w:t>
            </w:r>
          </w:p>
        </w:tc>
        <w:tc>
          <w:tcPr>
            <w:tcW w:w="2854" w:type="dxa"/>
          </w:tcPr>
          <w:p w14:paraId="1DAE6609" w14:textId="2BFCE5CF" w:rsidR="00A50902" w:rsidRPr="007939AB" w:rsidRDefault="00A50902" w:rsidP="00A5090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378" w:type="dxa"/>
          </w:tcPr>
          <w:p w14:paraId="4483E2C3" w14:textId="77777777" w:rsidR="00A50902" w:rsidRPr="00432774" w:rsidRDefault="00A50902" w:rsidP="00A50902">
            <w:pPr>
              <w:spacing w:after="120"/>
              <w:rPr>
                <w:rFonts w:eastAsia="Times New Roman" w:cstheme="minorHAnsi"/>
                <w:lang w:eastAsia="en-AU"/>
              </w:rPr>
            </w:pPr>
            <w:r w:rsidRPr="00432774">
              <w:rPr>
                <w:rFonts w:eastAsia="Times New Roman" w:cstheme="minorHAnsi"/>
                <w:lang w:eastAsia="en-AU"/>
              </w:rPr>
              <w:t>Team Managers</w:t>
            </w:r>
          </w:p>
          <w:p w14:paraId="468D19EC" w14:textId="03B06810" w:rsidR="009A13A7" w:rsidRPr="00432774" w:rsidRDefault="009A13A7" w:rsidP="00A50902">
            <w:pPr>
              <w:spacing w:after="120"/>
              <w:rPr>
                <w:rFonts w:eastAsia="Times New Roman" w:cstheme="minorHAnsi"/>
                <w:lang w:eastAsia="en-AU"/>
              </w:rPr>
            </w:pPr>
            <w:r w:rsidRPr="00432774">
              <w:rPr>
                <w:rFonts w:eastAsia="Times New Roman" w:cstheme="minorHAnsi"/>
                <w:lang w:eastAsia="en-AU"/>
              </w:rPr>
              <w:t>Recruitment Chair and Panel</w:t>
            </w:r>
          </w:p>
        </w:tc>
      </w:tr>
      <w:tr w:rsidR="00A50902" w:rsidRPr="00E13C3A" w14:paraId="0724A33B" w14:textId="77777777" w:rsidTr="0079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61" w:type="dxa"/>
          </w:tcPr>
          <w:p w14:paraId="797B7FB8" w14:textId="506948D0" w:rsidR="00A50902" w:rsidRPr="00E13C3A" w:rsidRDefault="00A50902" w:rsidP="00275B4C">
            <w:pPr>
              <w:spacing w:after="120"/>
              <w:rPr>
                <w:rFonts w:eastAsia="Times New Roman" w:cstheme="minorHAnsi"/>
                <w:lang w:eastAsia="en-AU"/>
              </w:rPr>
            </w:pPr>
            <w:r w:rsidRPr="00E13C3A">
              <w:rPr>
                <w:rFonts w:eastAsia="Times New Roman" w:cstheme="minorHAnsi"/>
                <w:lang w:eastAsia="en-AU"/>
              </w:rPr>
              <w:t>7.3 Ensure</w:t>
            </w:r>
            <w:r>
              <w:rPr>
                <w:rFonts w:eastAsia="Times New Roman" w:cstheme="minorHAnsi"/>
                <w:lang w:eastAsia="en-AU"/>
              </w:rPr>
              <w:t xml:space="preserve"> the implementation of the Authority’s </w:t>
            </w:r>
            <w:r w:rsidRPr="00E13C3A">
              <w:rPr>
                <w:rFonts w:eastAsia="Times New Roman" w:cstheme="minorHAnsi"/>
                <w:lang w:eastAsia="en-AU"/>
              </w:rPr>
              <w:t>S</w:t>
            </w:r>
            <w:r>
              <w:rPr>
                <w:rFonts w:eastAsia="Times New Roman" w:cstheme="minorHAnsi"/>
                <w:lang w:eastAsia="en-AU"/>
              </w:rPr>
              <w:t xml:space="preserve">ervice </w:t>
            </w:r>
            <w:r w:rsidRPr="00E13C3A">
              <w:rPr>
                <w:rFonts w:eastAsia="Times New Roman" w:cstheme="minorHAnsi"/>
                <w:lang w:eastAsia="en-AU"/>
              </w:rPr>
              <w:t>L</w:t>
            </w:r>
            <w:r>
              <w:rPr>
                <w:rFonts w:eastAsia="Times New Roman" w:cstheme="minorHAnsi"/>
                <w:lang w:eastAsia="en-AU"/>
              </w:rPr>
              <w:t xml:space="preserve">evel </w:t>
            </w:r>
            <w:r w:rsidRPr="00E13C3A">
              <w:rPr>
                <w:rFonts w:eastAsia="Times New Roman" w:cstheme="minorHAnsi"/>
                <w:lang w:eastAsia="en-AU"/>
              </w:rPr>
              <w:t>A</w:t>
            </w:r>
            <w:r>
              <w:rPr>
                <w:rFonts w:eastAsia="Times New Roman" w:cstheme="minorHAnsi"/>
                <w:lang w:eastAsia="en-AU"/>
              </w:rPr>
              <w:t>greement with the Department of Education.</w:t>
            </w:r>
          </w:p>
        </w:tc>
        <w:tc>
          <w:tcPr>
            <w:tcW w:w="2854" w:type="dxa"/>
          </w:tcPr>
          <w:p w14:paraId="11DFB3F4" w14:textId="2008F4FE" w:rsidR="00A50902" w:rsidRPr="00E13C3A" w:rsidRDefault="00A50902" w:rsidP="00A5090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13C3A">
              <w:rPr>
                <w:rFonts w:eastAsia="Times New Roman" w:cstheme="minorHAnsi"/>
                <w:lang w:eastAsia="en-AU"/>
              </w:rPr>
              <w:t>Ongoing</w:t>
            </w:r>
          </w:p>
        </w:tc>
        <w:tc>
          <w:tcPr>
            <w:cnfStyle w:val="000010000000" w:firstRow="0" w:lastRow="0" w:firstColumn="0" w:lastColumn="0" w:oddVBand="1" w:evenVBand="0" w:oddHBand="0" w:evenHBand="0" w:firstRowFirstColumn="0" w:firstRowLastColumn="0" w:lastRowFirstColumn="0" w:lastRowLastColumn="0"/>
            <w:tcW w:w="2378" w:type="dxa"/>
          </w:tcPr>
          <w:p w14:paraId="4E073FBA" w14:textId="04A217B3" w:rsidR="00A50902" w:rsidRPr="00432774" w:rsidRDefault="00275B4C" w:rsidP="00A50902">
            <w:pPr>
              <w:spacing w:after="120"/>
              <w:rPr>
                <w:rFonts w:eastAsia="Times New Roman" w:cstheme="minorHAnsi"/>
                <w:lang w:eastAsia="en-AU"/>
              </w:rPr>
            </w:pPr>
            <w:r w:rsidRPr="00432774">
              <w:rPr>
                <w:rFonts w:eastAsia="Times New Roman" w:cstheme="minorHAnsi"/>
                <w:lang w:eastAsia="en-AU"/>
              </w:rPr>
              <w:t>Executive Group</w:t>
            </w:r>
          </w:p>
        </w:tc>
      </w:tr>
    </w:tbl>
    <w:p w14:paraId="76A9E84B" w14:textId="6F417C01" w:rsidR="00B36793" w:rsidRDefault="00B36793" w:rsidP="00A50902">
      <w:pPr>
        <w:spacing w:after="120" w:line="240" w:lineRule="auto"/>
        <w:rPr>
          <w:rFonts w:eastAsia="Times New Roman" w:cstheme="minorHAnsi"/>
          <w:lang w:eastAsia="en-AU"/>
        </w:rPr>
      </w:pPr>
    </w:p>
    <w:sectPr w:rsidR="00B36793" w:rsidSect="0077688D">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B5CD" w14:textId="77777777" w:rsidR="00431B8C" w:rsidRDefault="00431B8C" w:rsidP="00A74C90">
      <w:pPr>
        <w:spacing w:after="0" w:line="240" w:lineRule="auto"/>
      </w:pPr>
      <w:r>
        <w:separator/>
      </w:r>
    </w:p>
  </w:endnote>
  <w:endnote w:type="continuationSeparator" w:id="0">
    <w:p w14:paraId="7B046A0A" w14:textId="77777777" w:rsidR="00431B8C" w:rsidRDefault="00431B8C" w:rsidP="00A7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Univers 55">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44495"/>
      <w:docPartObj>
        <w:docPartGallery w:val="Page Numbers (Bottom of Page)"/>
        <w:docPartUnique/>
      </w:docPartObj>
    </w:sdtPr>
    <w:sdtEndPr>
      <w:rPr>
        <w:noProof/>
        <w:sz w:val="20"/>
        <w:szCs w:val="20"/>
      </w:rPr>
    </w:sdtEndPr>
    <w:sdtContent>
      <w:p w14:paraId="3FC8DF5D" w14:textId="365C4C3E" w:rsidR="001D77F3" w:rsidRPr="0077688D" w:rsidRDefault="0077688D" w:rsidP="0077688D">
        <w:pPr>
          <w:pBdr>
            <w:top w:val="single" w:sz="4" w:space="4" w:color="5C815C" w:themeColor="accent3"/>
          </w:pBdr>
          <w:tabs>
            <w:tab w:val="right" w:pos="9072"/>
          </w:tabs>
          <w:rPr>
            <w:sz w:val="20"/>
            <w:szCs w:val="20"/>
          </w:rPr>
        </w:pPr>
        <w:r w:rsidRPr="0077688D">
          <w:rPr>
            <w:rFonts w:cstheme="minorHAnsi"/>
            <w:sz w:val="20"/>
            <w:szCs w:val="20"/>
          </w:rPr>
          <w:t>School Curriculum and Standards Authority</w:t>
        </w:r>
        <w:r>
          <w:rPr>
            <w:rFonts w:cstheme="minorHAnsi"/>
            <w:sz w:val="20"/>
            <w:szCs w:val="20"/>
          </w:rPr>
          <w:tab/>
        </w:r>
        <w:r w:rsidR="001D77F3" w:rsidRPr="0077688D">
          <w:rPr>
            <w:sz w:val="20"/>
            <w:szCs w:val="20"/>
          </w:rPr>
          <w:fldChar w:fldCharType="begin"/>
        </w:r>
        <w:r w:rsidR="001D77F3" w:rsidRPr="0077688D">
          <w:rPr>
            <w:sz w:val="20"/>
            <w:szCs w:val="20"/>
          </w:rPr>
          <w:instrText xml:space="preserve"> PAGE   \* MERGEFORMAT </w:instrText>
        </w:r>
        <w:r w:rsidR="001D77F3" w:rsidRPr="0077688D">
          <w:rPr>
            <w:sz w:val="20"/>
            <w:szCs w:val="20"/>
          </w:rPr>
          <w:fldChar w:fldCharType="separate"/>
        </w:r>
        <w:r w:rsidR="00761DAD" w:rsidRPr="0077688D">
          <w:rPr>
            <w:noProof/>
            <w:sz w:val="20"/>
            <w:szCs w:val="20"/>
          </w:rPr>
          <w:t>18</w:t>
        </w:r>
        <w:r w:rsidR="001D77F3" w:rsidRPr="0077688D">
          <w:rPr>
            <w:noProof/>
            <w:sz w:val="20"/>
            <w:szCs w:val="20"/>
          </w:rPr>
          <w:fldChar w:fldCharType="end"/>
        </w:r>
        <w:r>
          <w:rPr>
            <w:noProof/>
            <w:sz w:val="20"/>
            <w:szCs w:val="20"/>
          </w:rPr>
          <w:br/>
        </w:r>
        <w:r w:rsidRPr="0077688D">
          <w:rPr>
            <w:rFonts w:cstheme="minorHAnsi"/>
            <w:sz w:val="20"/>
            <w:szCs w:val="20"/>
          </w:rPr>
          <w:t>Disability Access and Inclusion Plan 2023</w:t>
        </w:r>
        <w:r>
          <w:rPr>
            <w:rFonts w:cstheme="minorHAnsi"/>
            <w:sz w:val="20"/>
            <w:szCs w:val="20"/>
          </w:rPr>
          <w:t>–</w:t>
        </w:r>
        <w:r w:rsidRPr="0077688D">
          <w:rPr>
            <w:rFonts w:cstheme="minorHAnsi"/>
            <w:sz w:val="20"/>
            <w:szCs w:val="20"/>
          </w:rPr>
          <w:t>2027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3590" w14:textId="77777777" w:rsidR="001D77F3" w:rsidRDefault="001D77F3">
    <w:pPr>
      <w:pStyle w:val="Footer"/>
      <w:jc w:val="right"/>
    </w:pPr>
  </w:p>
  <w:p w14:paraId="2A04A916" w14:textId="549F46E2" w:rsidR="001D77F3" w:rsidRDefault="001D7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962116"/>
      <w:docPartObj>
        <w:docPartGallery w:val="Page Numbers (Bottom of Page)"/>
        <w:docPartUnique/>
      </w:docPartObj>
    </w:sdtPr>
    <w:sdtEndPr>
      <w:rPr>
        <w:noProof/>
        <w:sz w:val="20"/>
        <w:szCs w:val="20"/>
      </w:rPr>
    </w:sdtEndPr>
    <w:sdtContent>
      <w:p w14:paraId="328F4AD3" w14:textId="12E34782" w:rsidR="005247B5" w:rsidRPr="0077688D" w:rsidRDefault="005247B5" w:rsidP="0077688D">
        <w:pPr>
          <w:pBdr>
            <w:top w:val="single" w:sz="4" w:space="4" w:color="5C815C" w:themeColor="accent3"/>
          </w:pBdr>
          <w:tabs>
            <w:tab w:val="right" w:pos="9072"/>
          </w:tabs>
          <w:rPr>
            <w:sz w:val="20"/>
            <w:szCs w:val="20"/>
          </w:rPr>
        </w:pPr>
        <w:r w:rsidRPr="0077688D">
          <w:rPr>
            <w:rFonts w:cstheme="minorHAnsi"/>
            <w:sz w:val="20"/>
            <w:szCs w:val="20"/>
          </w:rPr>
          <w:t>School Curriculum and Standards Authority</w:t>
        </w:r>
        <w:r w:rsidR="00F86AEC" w:rsidRPr="00F86AEC">
          <w:rPr>
            <w:rFonts w:cstheme="minorHAnsi"/>
            <w:sz w:val="20"/>
            <w:szCs w:val="20"/>
          </w:rPr>
          <w:t xml:space="preserve"> </w:t>
        </w:r>
        <w:r w:rsidR="00F86AEC">
          <w:rPr>
            <w:rFonts w:cstheme="minorHAnsi"/>
            <w:sz w:val="20"/>
            <w:szCs w:val="20"/>
          </w:rPr>
          <w:t xml:space="preserve">| </w:t>
        </w:r>
        <w:r w:rsidR="00F86AEC" w:rsidRPr="0077688D">
          <w:rPr>
            <w:rFonts w:cstheme="minorHAnsi"/>
            <w:sz w:val="20"/>
            <w:szCs w:val="20"/>
          </w:rPr>
          <w:t>Disability Access and Inclusion Plan 2023</w:t>
        </w:r>
        <w:r w:rsidR="00F86AEC">
          <w:rPr>
            <w:rFonts w:cstheme="minorHAnsi"/>
            <w:sz w:val="20"/>
            <w:szCs w:val="20"/>
          </w:rPr>
          <w:t>–</w:t>
        </w:r>
        <w:r w:rsidR="00F86AEC" w:rsidRPr="0077688D">
          <w:rPr>
            <w:rFonts w:cstheme="minorHAnsi"/>
            <w:sz w:val="20"/>
            <w:szCs w:val="20"/>
          </w:rPr>
          <w:t>2027</w:t>
        </w:r>
        <w:r>
          <w:rPr>
            <w:rFonts w:cstheme="minorHAnsi"/>
            <w:sz w:val="20"/>
            <w:szCs w:val="20"/>
          </w:rPr>
          <w:tab/>
        </w:r>
        <w:r w:rsidRPr="0077688D">
          <w:rPr>
            <w:sz w:val="20"/>
            <w:szCs w:val="20"/>
          </w:rPr>
          <w:fldChar w:fldCharType="begin"/>
        </w:r>
        <w:r w:rsidRPr="0077688D">
          <w:rPr>
            <w:sz w:val="20"/>
            <w:szCs w:val="20"/>
          </w:rPr>
          <w:instrText xml:space="preserve"> PAGE   \* MERGEFORMAT </w:instrText>
        </w:r>
        <w:r w:rsidRPr="0077688D">
          <w:rPr>
            <w:sz w:val="20"/>
            <w:szCs w:val="20"/>
          </w:rPr>
          <w:fldChar w:fldCharType="separate"/>
        </w:r>
        <w:r w:rsidRPr="0077688D">
          <w:rPr>
            <w:noProof/>
            <w:sz w:val="20"/>
            <w:szCs w:val="20"/>
          </w:rPr>
          <w:t>18</w:t>
        </w:r>
        <w:r w:rsidRPr="0077688D">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129F" w14:textId="77777777" w:rsidR="00320A12" w:rsidRPr="00100C93" w:rsidRDefault="00320A12">
    <w:pPr>
      <w:pStyle w:val="Footer"/>
      <w:rPr>
        <w:sz w:val="18"/>
        <w:szCs w:val="18"/>
      </w:rPr>
    </w:pPr>
    <w:r w:rsidRPr="00100C93">
      <w:rPr>
        <w:sz w:val="18"/>
        <w:szCs w:val="18"/>
      </w:rPr>
      <w:t>2021/63972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05543"/>
      <w:docPartObj>
        <w:docPartGallery w:val="Page Numbers (Bottom of Page)"/>
        <w:docPartUnique/>
      </w:docPartObj>
    </w:sdtPr>
    <w:sdtEndPr>
      <w:rPr>
        <w:noProof/>
        <w:sz w:val="20"/>
        <w:szCs w:val="20"/>
      </w:rPr>
    </w:sdtEndPr>
    <w:sdtContent>
      <w:p w14:paraId="7F1DE9FA" w14:textId="18537170" w:rsidR="0077688D" w:rsidRPr="0077688D" w:rsidRDefault="0077688D" w:rsidP="0077688D">
        <w:pPr>
          <w:pBdr>
            <w:top w:val="single" w:sz="4" w:space="4" w:color="5C815C" w:themeColor="accent3"/>
          </w:pBdr>
          <w:tabs>
            <w:tab w:val="right" w:pos="9072"/>
            <w:tab w:val="right" w:pos="14175"/>
          </w:tabs>
          <w:rPr>
            <w:sz w:val="20"/>
            <w:szCs w:val="20"/>
          </w:rPr>
        </w:pPr>
        <w:r w:rsidRPr="0077688D">
          <w:rPr>
            <w:rFonts w:cstheme="minorHAnsi"/>
            <w:sz w:val="20"/>
            <w:szCs w:val="20"/>
          </w:rPr>
          <w:t>School Curriculum and Standards Authority</w:t>
        </w:r>
        <w:r w:rsidR="00785947">
          <w:rPr>
            <w:rFonts w:cstheme="minorHAnsi"/>
            <w:sz w:val="20"/>
            <w:szCs w:val="20"/>
          </w:rPr>
          <w:t xml:space="preserve"> | </w:t>
        </w:r>
        <w:r w:rsidR="00785947" w:rsidRPr="0077688D">
          <w:rPr>
            <w:rFonts w:cstheme="minorHAnsi"/>
            <w:sz w:val="20"/>
            <w:szCs w:val="20"/>
          </w:rPr>
          <w:t>Disability Access and Inclusion Plan 2023</w:t>
        </w:r>
        <w:r w:rsidR="00785947">
          <w:rPr>
            <w:rFonts w:cstheme="minorHAnsi"/>
            <w:sz w:val="20"/>
            <w:szCs w:val="20"/>
          </w:rPr>
          <w:t>–</w:t>
        </w:r>
        <w:r w:rsidR="00785947" w:rsidRPr="0077688D">
          <w:rPr>
            <w:rFonts w:cstheme="minorHAnsi"/>
            <w:sz w:val="20"/>
            <w:szCs w:val="20"/>
          </w:rPr>
          <w:t>2027</w:t>
        </w:r>
        <w:r>
          <w:rPr>
            <w:rFonts w:cstheme="minorHAnsi"/>
            <w:sz w:val="20"/>
            <w:szCs w:val="20"/>
          </w:rPr>
          <w:tab/>
        </w:r>
        <w:r>
          <w:rPr>
            <w:rFonts w:cstheme="minorHAnsi"/>
            <w:sz w:val="20"/>
            <w:szCs w:val="20"/>
          </w:rPr>
          <w:tab/>
        </w:r>
        <w:r w:rsidRPr="0077688D">
          <w:rPr>
            <w:sz w:val="20"/>
            <w:szCs w:val="20"/>
          </w:rPr>
          <w:fldChar w:fldCharType="begin"/>
        </w:r>
        <w:r w:rsidRPr="0077688D">
          <w:rPr>
            <w:sz w:val="20"/>
            <w:szCs w:val="20"/>
          </w:rPr>
          <w:instrText xml:space="preserve"> PAGE   \* MERGEFORMAT </w:instrText>
        </w:r>
        <w:r w:rsidRPr="0077688D">
          <w:rPr>
            <w:sz w:val="20"/>
            <w:szCs w:val="20"/>
          </w:rPr>
          <w:fldChar w:fldCharType="separate"/>
        </w:r>
        <w:r w:rsidRPr="0077688D">
          <w:rPr>
            <w:noProof/>
            <w:sz w:val="20"/>
            <w:szCs w:val="20"/>
          </w:rPr>
          <w:t>18</w:t>
        </w:r>
        <w:r w:rsidRPr="0077688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5B13" w14:textId="77777777" w:rsidR="00431B8C" w:rsidRDefault="00431B8C" w:rsidP="00A74C90">
      <w:pPr>
        <w:spacing w:after="0" w:line="240" w:lineRule="auto"/>
      </w:pPr>
      <w:r>
        <w:separator/>
      </w:r>
    </w:p>
  </w:footnote>
  <w:footnote w:type="continuationSeparator" w:id="0">
    <w:p w14:paraId="2ED4CE2E" w14:textId="77777777" w:rsidR="00431B8C" w:rsidRDefault="00431B8C" w:rsidP="00A7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B21D" w14:textId="08165D9A" w:rsidR="001D77F3" w:rsidRPr="0077688D" w:rsidRDefault="001D77F3" w:rsidP="0077688D">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D1D8" w14:textId="346371D6" w:rsidR="00673A53" w:rsidRDefault="00673A53" w:rsidP="00673A53">
    <w:pPr>
      <w:pStyle w:val="Header"/>
      <w:tabs>
        <w:tab w:val="clear" w:pos="9026"/>
      </w:tabs>
      <w:ind w:left="-709"/>
    </w:pPr>
    <w:r>
      <w:rPr>
        <w:noProof/>
        <w:lang w:eastAsia="en-AU"/>
      </w:rPr>
      <w:drawing>
        <wp:inline distT="0" distB="0" distL="0" distR="0" wp14:anchorId="6612FA3A" wp14:editId="34580F03">
          <wp:extent cx="6552000" cy="583200"/>
          <wp:effectExtent l="0" t="0" r="127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 Govt and Tree Letterhead Purple.jpg"/>
                  <pic:cNvPicPr/>
                </pic:nvPicPr>
                <pic:blipFill>
                  <a:blip r:embed="rId1">
                    <a:extLst>
                      <a:ext uri="{28A0092B-C50C-407E-A947-70E740481C1C}">
                        <a14:useLocalDpi xmlns:a14="http://schemas.microsoft.com/office/drawing/2010/main" val="0"/>
                      </a:ext>
                    </a:extLst>
                  </a:blip>
                  <a:stretch>
                    <a:fillRect/>
                  </a:stretch>
                </pic:blipFill>
                <pic:spPr>
                  <a:xfrm>
                    <a:off x="0" y="0"/>
                    <a:ext cx="6552000" cy="583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91E9" w14:textId="3D9E1872" w:rsidR="00320A12" w:rsidRDefault="00320A12" w:rsidP="00673A53">
    <w:pPr>
      <w:pStyle w:val="Header"/>
      <w:tabs>
        <w:tab w:val="clear" w:pos="902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487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D03BBC"/>
    <w:multiLevelType w:val="multilevel"/>
    <w:tmpl w:val="77043472"/>
    <w:styleLink w:val="NumberedList"/>
    <w:lvl w:ilvl="0">
      <w:start w:val="1"/>
      <w:numFmt w:val="decimal"/>
      <w:pStyle w:val="Heading1"/>
      <w:suff w:val="space"/>
      <w:lvlText w:val="%1.0"/>
      <w:lvlJc w:val="left"/>
      <w:pPr>
        <w:ind w:left="357" w:hanging="357"/>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42835632"/>
    <w:multiLevelType w:val="hybridMultilevel"/>
    <w:tmpl w:val="0FF0A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3444514"/>
    <w:multiLevelType w:val="hybridMultilevel"/>
    <w:tmpl w:val="AD807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BCD15E0"/>
    <w:multiLevelType w:val="hybridMultilevel"/>
    <w:tmpl w:val="DE18D1FA"/>
    <w:lvl w:ilvl="0" w:tplc="0F023F8E">
      <w:start w:val="1"/>
      <w:numFmt w:val="bullet"/>
      <w:pStyle w:val="Quotedbulletpoi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445AF2"/>
    <w:multiLevelType w:val="hybridMultilevel"/>
    <w:tmpl w:val="6A2C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4E2803"/>
    <w:multiLevelType w:val="multilevel"/>
    <w:tmpl w:val="788651D0"/>
    <w:styleLink w:val="AppendixNum"/>
    <w:lvl w:ilvl="0">
      <w:start w:val="1"/>
      <w:numFmt w:val="decimal"/>
      <w:pStyle w:val="AppendixH2"/>
      <w:suff w:val="space"/>
      <w:lvlText w:val="Outcome %1:"/>
      <w:lvlJc w:val="left"/>
      <w:pPr>
        <w:ind w:left="0" w:firstLine="0"/>
      </w:pPr>
      <w:rPr>
        <w:rFonts w:hint="default"/>
      </w:rPr>
    </w:lvl>
    <w:lvl w:ilvl="1">
      <w:start w:val="1"/>
      <w:numFmt w:val="decimal"/>
      <w:pStyle w:val="Appendix3"/>
      <w:lvlText w:val="%1.%2"/>
      <w:lvlJc w:val="left"/>
      <w:pPr>
        <w:ind w:left="357" w:hanging="35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D0E5CB5"/>
    <w:multiLevelType w:val="hybridMultilevel"/>
    <w:tmpl w:val="D8BE88AA"/>
    <w:lvl w:ilvl="0" w:tplc="85B2A038">
      <w:start w:val="1"/>
      <w:numFmt w:val="bullet"/>
      <w:pStyle w:val="Quotedbulletpoint2"/>
      <w:lvlText w:val="▪"/>
      <w:lvlJc w:val="left"/>
      <w:pPr>
        <w:ind w:left="1287" w:hanging="360"/>
      </w:pPr>
      <w:rPr>
        <w:rFonts w:ascii="Arial" w:hAnsi="Arial" w:hint="default"/>
        <w:b/>
        <w:i w:val="0"/>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28298847">
    <w:abstractNumId w:val="4"/>
  </w:num>
  <w:num w:numId="2" w16cid:durableId="1010254853">
    <w:abstractNumId w:val="3"/>
  </w:num>
  <w:num w:numId="3" w16cid:durableId="1704134579">
    <w:abstractNumId w:val="2"/>
  </w:num>
  <w:num w:numId="4" w16cid:durableId="363598761">
    <w:abstractNumId w:val="5"/>
  </w:num>
  <w:num w:numId="5" w16cid:durableId="1109086523">
    <w:abstractNumId w:val="1"/>
  </w:num>
  <w:num w:numId="6" w16cid:durableId="134008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127063">
    <w:abstractNumId w:val="0"/>
  </w:num>
  <w:num w:numId="8" w16cid:durableId="1433936857">
    <w:abstractNumId w:val="7"/>
  </w:num>
  <w:num w:numId="9" w16cid:durableId="1960338933">
    <w:abstractNumId w:val="6"/>
  </w:num>
  <w:num w:numId="10" w16cid:durableId="1804888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080621">
    <w:abstractNumId w:val="6"/>
  </w:num>
  <w:num w:numId="12" w16cid:durableId="44820177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90"/>
    <w:rsid w:val="0000376C"/>
    <w:rsid w:val="000141AB"/>
    <w:rsid w:val="000329A8"/>
    <w:rsid w:val="00041134"/>
    <w:rsid w:val="0005005A"/>
    <w:rsid w:val="00061175"/>
    <w:rsid w:val="00081A29"/>
    <w:rsid w:val="00090449"/>
    <w:rsid w:val="00093588"/>
    <w:rsid w:val="00093E0D"/>
    <w:rsid w:val="00096335"/>
    <w:rsid w:val="000A04EE"/>
    <w:rsid w:val="000A54D0"/>
    <w:rsid w:val="000B1862"/>
    <w:rsid w:val="000C74E8"/>
    <w:rsid w:val="000D61FA"/>
    <w:rsid w:val="000F02F6"/>
    <w:rsid w:val="000F6474"/>
    <w:rsid w:val="00100C93"/>
    <w:rsid w:val="00102A52"/>
    <w:rsid w:val="00111244"/>
    <w:rsid w:val="00112556"/>
    <w:rsid w:val="001451F3"/>
    <w:rsid w:val="00151FFD"/>
    <w:rsid w:val="001522F6"/>
    <w:rsid w:val="00157E32"/>
    <w:rsid w:val="0016302D"/>
    <w:rsid w:val="00167B38"/>
    <w:rsid w:val="00167EC6"/>
    <w:rsid w:val="00183AE4"/>
    <w:rsid w:val="00186478"/>
    <w:rsid w:val="001922F5"/>
    <w:rsid w:val="001926DE"/>
    <w:rsid w:val="001B1C80"/>
    <w:rsid w:val="001B516C"/>
    <w:rsid w:val="001C31CE"/>
    <w:rsid w:val="001D77F3"/>
    <w:rsid w:val="001D7914"/>
    <w:rsid w:val="001E149B"/>
    <w:rsid w:val="001E197E"/>
    <w:rsid w:val="001E232B"/>
    <w:rsid w:val="001F10BB"/>
    <w:rsid w:val="00210E7A"/>
    <w:rsid w:val="00212DC6"/>
    <w:rsid w:val="002136C3"/>
    <w:rsid w:val="00213EB7"/>
    <w:rsid w:val="00241110"/>
    <w:rsid w:val="00243821"/>
    <w:rsid w:val="00274166"/>
    <w:rsid w:val="00274B10"/>
    <w:rsid w:val="00275B4C"/>
    <w:rsid w:val="00277D38"/>
    <w:rsid w:val="00283F60"/>
    <w:rsid w:val="002A540D"/>
    <w:rsid w:val="002C1DD4"/>
    <w:rsid w:val="002C3536"/>
    <w:rsid w:val="002D3386"/>
    <w:rsid w:val="002D44A4"/>
    <w:rsid w:val="002E3A78"/>
    <w:rsid w:val="002E51DA"/>
    <w:rsid w:val="002E58E5"/>
    <w:rsid w:val="002E5E46"/>
    <w:rsid w:val="002F6F5C"/>
    <w:rsid w:val="00302BC4"/>
    <w:rsid w:val="00316502"/>
    <w:rsid w:val="00320A12"/>
    <w:rsid w:val="0032324E"/>
    <w:rsid w:val="00331D48"/>
    <w:rsid w:val="003332CA"/>
    <w:rsid w:val="00333C4D"/>
    <w:rsid w:val="00340D3A"/>
    <w:rsid w:val="003538ED"/>
    <w:rsid w:val="003702DE"/>
    <w:rsid w:val="00370522"/>
    <w:rsid w:val="00371268"/>
    <w:rsid w:val="00372393"/>
    <w:rsid w:val="00375E23"/>
    <w:rsid w:val="003762A8"/>
    <w:rsid w:val="00385156"/>
    <w:rsid w:val="003860F1"/>
    <w:rsid w:val="003944B8"/>
    <w:rsid w:val="00394743"/>
    <w:rsid w:val="00395CA2"/>
    <w:rsid w:val="003A5BD7"/>
    <w:rsid w:val="003B3DC9"/>
    <w:rsid w:val="003B4B6D"/>
    <w:rsid w:val="003B730B"/>
    <w:rsid w:val="003D776B"/>
    <w:rsid w:val="003E4115"/>
    <w:rsid w:val="003E5FFA"/>
    <w:rsid w:val="003E70DC"/>
    <w:rsid w:val="00405C2B"/>
    <w:rsid w:val="004065A6"/>
    <w:rsid w:val="004073E0"/>
    <w:rsid w:val="00414E2A"/>
    <w:rsid w:val="004178FB"/>
    <w:rsid w:val="00417FF9"/>
    <w:rsid w:val="00423D63"/>
    <w:rsid w:val="004263AC"/>
    <w:rsid w:val="00431B8C"/>
    <w:rsid w:val="00432774"/>
    <w:rsid w:val="00437D55"/>
    <w:rsid w:val="00457789"/>
    <w:rsid w:val="004816EE"/>
    <w:rsid w:val="004865D4"/>
    <w:rsid w:val="004A6C9A"/>
    <w:rsid w:val="004B5C18"/>
    <w:rsid w:val="004F085D"/>
    <w:rsid w:val="005001A1"/>
    <w:rsid w:val="005215F8"/>
    <w:rsid w:val="00521EC1"/>
    <w:rsid w:val="005247B5"/>
    <w:rsid w:val="00525672"/>
    <w:rsid w:val="00526EBB"/>
    <w:rsid w:val="00533E79"/>
    <w:rsid w:val="0054768C"/>
    <w:rsid w:val="005645A9"/>
    <w:rsid w:val="00566A71"/>
    <w:rsid w:val="00572983"/>
    <w:rsid w:val="00575789"/>
    <w:rsid w:val="0058463A"/>
    <w:rsid w:val="005855D0"/>
    <w:rsid w:val="00591A24"/>
    <w:rsid w:val="00593DF1"/>
    <w:rsid w:val="00597BDD"/>
    <w:rsid w:val="005B2757"/>
    <w:rsid w:val="005B40C4"/>
    <w:rsid w:val="005D1CCF"/>
    <w:rsid w:val="005D5FB1"/>
    <w:rsid w:val="005F3410"/>
    <w:rsid w:val="00607DD8"/>
    <w:rsid w:val="0061164F"/>
    <w:rsid w:val="00612FAD"/>
    <w:rsid w:val="00620BE7"/>
    <w:rsid w:val="00621B8C"/>
    <w:rsid w:val="00624A78"/>
    <w:rsid w:val="00626970"/>
    <w:rsid w:val="006364A7"/>
    <w:rsid w:val="006436F3"/>
    <w:rsid w:val="00673778"/>
    <w:rsid w:val="00673A53"/>
    <w:rsid w:val="00675EED"/>
    <w:rsid w:val="00690F51"/>
    <w:rsid w:val="00692E1D"/>
    <w:rsid w:val="00695A1B"/>
    <w:rsid w:val="00697F3A"/>
    <w:rsid w:val="006A04BB"/>
    <w:rsid w:val="006A275B"/>
    <w:rsid w:val="006A27C2"/>
    <w:rsid w:val="006A3097"/>
    <w:rsid w:val="006A7B70"/>
    <w:rsid w:val="006E0ACE"/>
    <w:rsid w:val="007022BB"/>
    <w:rsid w:val="00704CD5"/>
    <w:rsid w:val="00707AC7"/>
    <w:rsid w:val="00720182"/>
    <w:rsid w:val="00720B34"/>
    <w:rsid w:val="007214C0"/>
    <w:rsid w:val="0072592A"/>
    <w:rsid w:val="00726E11"/>
    <w:rsid w:val="0073670D"/>
    <w:rsid w:val="0074389D"/>
    <w:rsid w:val="007470E1"/>
    <w:rsid w:val="007538CE"/>
    <w:rsid w:val="00754B50"/>
    <w:rsid w:val="00754F61"/>
    <w:rsid w:val="007600A7"/>
    <w:rsid w:val="0076142F"/>
    <w:rsid w:val="00761DAD"/>
    <w:rsid w:val="0077688D"/>
    <w:rsid w:val="00785947"/>
    <w:rsid w:val="007939AB"/>
    <w:rsid w:val="007B4028"/>
    <w:rsid w:val="007E5467"/>
    <w:rsid w:val="0080341D"/>
    <w:rsid w:val="008201AC"/>
    <w:rsid w:val="00837193"/>
    <w:rsid w:val="00840B7C"/>
    <w:rsid w:val="008459EC"/>
    <w:rsid w:val="008470BF"/>
    <w:rsid w:val="00861913"/>
    <w:rsid w:val="00862473"/>
    <w:rsid w:val="00884209"/>
    <w:rsid w:val="00892B3D"/>
    <w:rsid w:val="008B518D"/>
    <w:rsid w:val="008C2967"/>
    <w:rsid w:val="008C669B"/>
    <w:rsid w:val="008E3925"/>
    <w:rsid w:val="008F59C1"/>
    <w:rsid w:val="009064BB"/>
    <w:rsid w:val="0090773F"/>
    <w:rsid w:val="00907817"/>
    <w:rsid w:val="00913E33"/>
    <w:rsid w:val="009335AA"/>
    <w:rsid w:val="009408A9"/>
    <w:rsid w:val="00945D64"/>
    <w:rsid w:val="0094643D"/>
    <w:rsid w:val="00947997"/>
    <w:rsid w:val="00952F29"/>
    <w:rsid w:val="009619FF"/>
    <w:rsid w:val="0097295F"/>
    <w:rsid w:val="009755CE"/>
    <w:rsid w:val="009813C8"/>
    <w:rsid w:val="0098189A"/>
    <w:rsid w:val="0099535D"/>
    <w:rsid w:val="00995A32"/>
    <w:rsid w:val="009A13A7"/>
    <w:rsid w:val="009A4757"/>
    <w:rsid w:val="009B2046"/>
    <w:rsid w:val="009C7BB0"/>
    <w:rsid w:val="009F2332"/>
    <w:rsid w:val="009F65D9"/>
    <w:rsid w:val="00A07C58"/>
    <w:rsid w:val="00A10774"/>
    <w:rsid w:val="00A17D67"/>
    <w:rsid w:val="00A20D2F"/>
    <w:rsid w:val="00A26F7F"/>
    <w:rsid w:val="00A27448"/>
    <w:rsid w:val="00A50902"/>
    <w:rsid w:val="00A52AE1"/>
    <w:rsid w:val="00A63F44"/>
    <w:rsid w:val="00A74C90"/>
    <w:rsid w:val="00A81E9B"/>
    <w:rsid w:val="00A9492C"/>
    <w:rsid w:val="00AB2FC0"/>
    <w:rsid w:val="00AB613F"/>
    <w:rsid w:val="00AC079D"/>
    <w:rsid w:val="00AC28F5"/>
    <w:rsid w:val="00AC3553"/>
    <w:rsid w:val="00AC4A3B"/>
    <w:rsid w:val="00AC6150"/>
    <w:rsid w:val="00AD5074"/>
    <w:rsid w:val="00AF6B15"/>
    <w:rsid w:val="00AF73D8"/>
    <w:rsid w:val="00B075F1"/>
    <w:rsid w:val="00B16F10"/>
    <w:rsid w:val="00B22095"/>
    <w:rsid w:val="00B229A4"/>
    <w:rsid w:val="00B36793"/>
    <w:rsid w:val="00B52757"/>
    <w:rsid w:val="00B52AF2"/>
    <w:rsid w:val="00B55C8C"/>
    <w:rsid w:val="00B57BD3"/>
    <w:rsid w:val="00B6296D"/>
    <w:rsid w:val="00B6640F"/>
    <w:rsid w:val="00B80391"/>
    <w:rsid w:val="00B80B99"/>
    <w:rsid w:val="00B8327C"/>
    <w:rsid w:val="00B83B66"/>
    <w:rsid w:val="00B866DF"/>
    <w:rsid w:val="00B96076"/>
    <w:rsid w:val="00BA66FD"/>
    <w:rsid w:val="00BA77C0"/>
    <w:rsid w:val="00BB0AD0"/>
    <w:rsid w:val="00BB63E9"/>
    <w:rsid w:val="00BB76D3"/>
    <w:rsid w:val="00BC00A8"/>
    <w:rsid w:val="00BD3DAC"/>
    <w:rsid w:val="00BE074B"/>
    <w:rsid w:val="00BE3792"/>
    <w:rsid w:val="00BE3A38"/>
    <w:rsid w:val="00C02BE2"/>
    <w:rsid w:val="00C03857"/>
    <w:rsid w:val="00C07812"/>
    <w:rsid w:val="00C133AE"/>
    <w:rsid w:val="00C13661"/>
    <w:rsid w:val="00C2260A"/>
    <w:rsid w:val="00C30C19"/>
    <w:rsid w:val="00C37508"/>
    <w:rsid w:val="00C4048A"/>
    <w:rsid w:val="00C451B3"/>
    <w:rsid w:val="00C462C9"/>
    <w:rsid w:val="00C53245"/>
    <w:rsid w:val="00C64AC1"/>
    <w:rsid w:val="00C7003E"/>
    <w:rsid w:val="00C81C49"/>
    <w:rsid w:val="00C847C2"/>
    <w:rsid w:val="00C84C17"/>
    <w:rsid w:val="00C86F1B"/>
    <w:rsid w:val="00C9271D"/>
    <w:rsid w:val="00C93576"/>
    <w:rsid w:val="00C94DD9"/>
    <w:rsid w:val="00D06174"/>
    <w:rsid w:val="00D07D09"/>
    <w:rsid w:val="00D10650"/>
    <w:rsid w:val="00D10E4F"/>
    <w:rsid w:val="00D135ED"/>
    <w:rsid w:val="00D24ACA"/>
    <w:rsid w:val="00D26996"/>
    <w:rsid w:val="00D3237F"/>
    <w:rsid w:val="00D522F5"/>
    <w:rsid w:val="00D625E7"/>
    <w:rsid w:val="00D7407F"/>
    <w:rsid w:val="00D86945"/>
    <w:rsid w:val="00D87C7A"/>
    <w:rsid w:val="00DB0904"/>
    <w:rsid w:val="00DC27B0"/>
    <w:rsid w:val="00DC5E09"/>
    <w:rsid w:val="00DD043B"/>
    <w:rsid w:val="00DE6242"/>
    <w:rsid w:val="00E05FD5"/>
    <w:rsid w:val="00E10894"/>
    <w:rsid w:val="00E13C3A"/>
    <w:rsid w:val="00E15177"/>
    <w:rsid w:val="00E204D5"/>
    <w:rsid w:val="00E21687"/>
    <w:rsid w:val="00E2753B"/>
    <w:rsid w:val="00E35D07"/>
    <w:rsid w:val="00E50BB9"/>
    <w:rsid w:val="00E554BB"/>
    <w:rsid w:val="00E73D31"/>
    <w:rsid w:val="00E7476E"/>
    <w:rsid w:val="00E84E23"/>
    <w:rsid w:val="00E96792"/>
    <w:rsid w:val="00EA2F2F"/>
    <w:rsid w:val="00EC3010"/>
    <w:rsid w:val="00EC6731"/>
    <w:rsid w:val="00EC6B04"/>
    <w:rsid w:val="00EC7D33"/>
    <w:rsid w:val="00ED165B"/>
    <w:rsid w:val="00ED57E3"/>
    <w:rsid w:val="00EE001D"/>
    <w:rsid w:val="00EE11E7"/>
    <w:rsid w:val="00EE2ABD"/>
    <w:rsid w:val="00EE5E47"/>
    <w:rsid w:val="00F0363E"/>
    <w:rsid w:val="00F05276"/>
    <w:rsid w:val="00F06AB3"/>
    <w:rsid w:val="00F1094B"/>
    <w:rsid w:val="00F36886"/>
    <w:rsid w:val="00F40671"/>
    <w:rsid w:val="00F62DDF"/>
    <w:rsid w:val="00F8219F"/>
    <w:rsid w:val="00F86AEC"/>
    <w:rsid w:val="00F93510"/>
    <w:rsid w:val="00F96023"/>
    <w:rsid w:val="00FA586D"/>
    <w:rsid w:val="00FA66A1"/>
    <w:rsid w:val="00FC3388"/>
    <w:rsid w:val="00FC5AC5"/>
    <w:rsid w:val="00FC7245"/>
    <w:rsid w:val="00FD22DE"/>
    <w:rsid w:val="00FF6A85"/>
    <w:rsid w:val="00FF73D2"/>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94D7"/>
  <w15:chartTrackingRefBased/>
  <w15:docId w15:val="{FD28FCD7-4EF4-498F-A144-BB2D188C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9B"/>
  </w:style>
  <w:style w:type="paragraph" w:styleId="Heading1">
    <w:name w:val="heading 1"/>
    <w:basedOn w:val="Normal"/>
    <w:next w:val="Normal"/>
    <w:link w:val="Heading1Char"/>
    <w:uiPriority w:val="9"/>
    <w:qFormat/>
    <w:rsid w:val="006E0ACE"/>
    <w:pPr>
      <w:keepNext/>
      <w:keepLines/>
      <w:numPr>
        <w:numId w:val="5"/>
      </w:numPr>
      <w:spacing w:before="240" w:after="240"/>
      <w:outlineLvl w:val="0"/>
    </w:pPr>
    <w:rPr>
      <w:rFonts w:asciiTheme="majorHAnsi" w:eastAsiaTheme="majorEastAsia" w:hAnsiTheme="majorHAnsi" w:cstheme="majorBidi"/>
      <w:color w:val="410B68" w:themeColor="accent1" w:themeShade="BF"/>
      <w:sz w:val="32"/>
      <w:szCs w:val="32"/>
    </w:rPr>
  </w:style>
  <w:style w:type="paragraph" w:styleId="Heading2">
    <w:name w:val="heading 2"/>
    <w:basedOn w:val="Normal"/>
    <w:next w:val="Normal"/>
    <w:link w:val="Heading2Char"/>
    <w:uiPriority w:val="9"/>
    <w:unhideWhenUsed/>
    <w:qFormat/>
    <w:rsid w:val="006E0ACE"/>
    <w:pPr>
      <w:keepNext/>
      <w:keepLines/>
      <w:numPr>
        <w:ilvl w:val="1"/>
        <w:numId w:val="5"/>
      </w:numPr>
      <w:spacing w:before="120" w:after="120"/>
      <w:outlineLvl w:val="1"/>
    </w:pPr>
    <w:rPr>
      <w:rFonts w:asciiTheme="majorHAnsi" w:eastAsiaTheme="majorEastAsia" w:hAnsiTheme="majorHAnsi" w:cstheme="majorBidi"/>
      <w:color w:val="410B68" w:themeColor="accent1" w:themeShade="BF"/>
      <w:sz w:val="26"/>
      <w:szCs w:val="26"/>
    </w:rPr>
  </w:style>
  <w:style w:type="paragraph" w:styleId="Heading3">
    <w:name w:val="heading 3"/>
    <w:basedOn w:val="Normal"/>
    <w:next w:val="Normal"/>
    <w:link w:val="Heading3Char"/>
    <w:uiPriority w:val="9"/>
    <w:unhideWhenUsed/>
    <w:qFormat/>
    <w:rsid w:val="00A74C90"/>
    <w:pPr>
      <w:keepNext/>
      <w:keepLines/>
      <w:spacing w:before="40" w:after="0"/>
      <w:outlineLvl w:val="2"/>
    </w:pPr>
    <w:rPr>
      <w:rFonts w:asciiTheme="majorHAnsi" w:eastAsiaTheme="majorEastAsia" w:hAnsiTheme="majorHAnsi" w:cstheme="majorBidi"/>
      <w:color w:val="2B0745" w:themeColor="accent1" w:themeShade="7F"/>
      <w:sz w:val="24"/>
      <w:szCs w:val="24"/>
    </w:rPr>
  </w:style>
  <w:style w:type="paragraph" w:styleId="Heading4">
    <w:name w:val="heading 4"/>
    <w:basedOn w:val="Normal"/>
    <w:next w:val="Normal"/>
    <w:link w:val="Heading4Char"/>
    <w:uiPriority w:val="9"/>
    <w:semiHidden/>
    <w:unhideWhenUsed/>
    <w:rsid w:val="00695A1B"/>
    <w:pPr>
      <w:keepNext/>
      <w:keepLines/>
      <w:spacing w:before="40" w:after="0"/>
      <w:outlineLvl w:val="3"/>
    </w:pPr>
    <w:rPr>
      <w:rFonts w:asciiTheme="majorHAnsi" w:eastAsiaTheme="majorEastAsia" w:hAnsiTheme="majorHAnsi" w:cstheme="majorBidi"/>
      <w:i/>
      <w:iCs/>
      <w:color w:val="410B6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ACE"/>
    <w:rPr>
      <w:rFonts w:asciiTheme="majorHAnsi" w:eastAsiaTheme="majorEastAsia" w:hAnsiTheme="majorHAnsi" w:cstheme="majorBidi"/>
      <w:color w:val="410B68" w:themeColor="accent1" w:themeShade="BF"/>
      <w:sz w:val="26"/>
      <w:szCs w:val="26"/>
    </w:rPr>
  </w:style>
  <w:style w:type="character" w:customStyle="1" w:styleId="Heading3Char">
    <w:name w:val="Heading 3 Char"/>
    <w:basedOn w:val="DefaultParagraphFont"/>
    <w:link w:val="Heading3"/>
    <w:uiPriority w:val="9"/>
    <w:rsid w:val="00A74C90"/>
    <w:rPr>
      <w:rFonts w:asciiTheme="majorHAnsi" w:eastAsiaTheme="majorEastAsia" w:hAnsiTheme="majorHAnsi" w:cstheme="majorBidi"/>
      <w:color w:val="2B0745" w:themeColor="accent1" w:themeShade="7F"/>
      <w:sz w:val="24"/>
      <w:szCs w:val="24"/>
    </w:rPr>
  </w:style>
  <w:style w:type="paragraph" w:styleId="Header">
    <w:name w:val="header"/>
    <w:basedOn w:val="Normal"/>
    <w:link w:val="HeaderChar"/>
    <w:uiPriority w:val="99"/>
    <w:unhideWhenUsed/>
    <w:rsid w:val="00A74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90"/>
  </w:style>
  <w:style w:type="paragraph" w:styleId="Footer">
    <w:name w:val="footer"/>
    <w:basedOn w:val="Normal"/>
    <w:link w:val="FooterChar"/>
    <w:uiPriority w:val="99"/>
    <w:unhideWhenUsed/>
    <w:rsid w:val="00A74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90"/>
  </w:style>
  <w:style w:type="character" w:customStyle="1" w:styleId="Heading1Char">
    <w:name w:val="Heading 1 Char"/>
    <w:basedOn w:val="DefaultParagraphFont"/>
    <w:link w:val="Heading1"/>
    <w:uiPriority w:val="9"/>
    <w:rsid w:val="006E0ACE"/>
    <w:rPr>
      <w:rFonts w:asciiTheme="majorHAnsi" w:eastAsiaTheme="majorEastAsia" w:hAnsiTheme="majorHAnsi" w:cstheme="majorBidi"/>
      <w:color w:val="410B68" w:themeColor="accent1" w:themeShade="BF"/>
      <w:sz w:val="32"/>
      <w:szCs w:val="32"/>
    </w:rPr>
  </w:style>
  <w:style w:type="paragraph" w:customStyle="1" w:styleId="DefaultChar">
    <w:name w:val="Default Char"/>
    <w:link w:val="DefaultCharChar"/>
    <w:rsid w:val="00A74C90"/>
    <w:pPr>
      <w:widowControl w:val="0"/>
      <w:autoSpaceDE w:val="0"/>
      <w:autoSpaceDN w:val="0"/>
      <w:adjustRightInd w:val="0"/>
      <w:spacing w:after="0" w:line="240" w:lineRule="auto"/>
    </w:pPr>
    <w:rPr>
      <w:rFonts w:ascii="Univers 55" w:eastAsia="Times New Roman" w:hAnsi="Univers 55" w:cs="Univers 55"/>
      <w:color w:val="000000"/>
      <w:sz w:val="24"/>
      <w:szCs w:val="24"/>
      <w:lang w:eastAsia="en-AU"/>
    </w:rPr>
  </w:style>
  <w:style w:type="character" w:customStyle="1" w:styleId="DefaultCharChar">
    <w:name w:val="Default Char Char"/>
    <w:link w:val="DefaultChar"/>
    <w:rsid w:val="00A74C90"/>
    <w:rPr>
      <w:rFonts w:ascii="Univers 55" w:eastAsia="Times New Roman" w:hAnsi="Univers 55" w:cs="Univers 55"/>
      <w:color w:val="000000"/>
      <w:sz w:val="24"/>
      <w:szCs w:val="24"/>
      <w:lang w:eastAsia="en-AU"/>
    </w:rPr>
  </w:style>
  <w:style w:type="character" w:customStyle="1" w:styleId="Heading4Char">
    <w:name w:val="Heading 4 Char"/>
    <w:basedOn w:val="DefaultParagraphFont"/>
    <w:link w:val="Heading4"/>
    <w:uiPriority w:val="9"/>
    <w:semiHidden/>
    <w:rsid w:val="00695A1B"/>
    <w:rPr>
      <w:rFonts w:asciiTheme="majorHAnsi" w:eastAsiaTheme="majorEastAsia" w:hAnsiTheme="majorHAnsi" w:cstheme="majorBidi"/>
      <w:i/>
      <w:iCs/>
      <w:color w:val="410B68" w:themeColor="accent1" w:themeShade="BF"/>
    </w:rPr>
  </w:style>
  <w:style w:type="paragraph" w:styleId="ListParagraph">
    <w:name w:val="List Paragraph"/>
    <w:basedOn w:val="Normal"/>
    <w:uiPriority w:val="34"/>
    <w:rsid w:val="00566A71"/>
    <w:pPr>
      <w:ind w:left="720"/>
      <w:contextualSpacing/>
    </w:pPr>
  </w:style>
  <w:style w:type="table" w:styleId="TableGrid">
    <w:name w:val="Table Grid"/>
    <w:basedOn w:val="TableNormal"/>
    <w:uiPriority w:val="39"/>
    <w:rsid w:val="00AB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0F1"/>
    <w:rPr>
      <w:color w:val="580F8B" w:themeColor="hyperlink"/>
      <w:u w:val="single"/>
    </w:rPr>
  </w:style>
  <w:style w:type="character" w:styleId="CommentReference">
    <w:name w:val="annotation reference"/>
    <w:basedOn w:val="DefaultParagraphFont"/>
    <w:uiPriority w:val="99"/>
    <w:semiHidden/>
    <w:unhideWhenUsed/>
    <w:rsid w:val="00A52AE1"/>
    <w:rPr>
      <w:sz w:val="16"/>
      <w:szCs w:val="16"/>
    </w:rPr>
  </w:style>
  <w:style w:type="paragraph" w:styleId="CommentText">
    <w:name w:val="annotation text"/>
    <w:basedOn w:val="Normal"/>
    <w:link w:val="CommentTextChar"/>
    <w:uiPriority w:val="99"/>
    <w:unhideWhenUsed/>
    <w:rsid w:val="00A52AE1"/>
    <w:pPr>
      <w:spacing w:line="240" w:lineRule="auto"/>
    </w:pPr>
    <w:rPr>
      <w:sz w:val="20"/>
      <w:szCs w:val="20"/>
    </w:rPr>
  </w:style>
  <w:style w:type="character" w:customStyle="1" w:styleId="CommentTextChar">
    <w:name w:val="Comment Text Char"/>
    <w:basedOn w:val="DefaultParagraphFont"/>
    <w:link w:val="CommentText"/>
    <w:uiPriority w:val="99"/>
    <w:rsid w:val="00A52AE1"/>
    <w:rPr>
      <w:sz w:val="20"/>
      <w:szCs w:val="20"/>
    </w:rPr>
  </w:style>
  <w:style w:type="paragraph" w:styleId="CommentSubject">
    <w:name w:val="annotation subject"/>
    <w:basedOn w:val="CommentText"/>
    <w:next w:val="CommentText"/>
    <w:link w:val="CommentSubjectChar"/>
    <w:uiPriority w:val="99"/>
    <w:semiHidden/>
    <w:unhideWhenUsed/>
    <w:rsid w:val="00A52AE1"/>
    <w:rPr>
      <w:b/>
      <w:bCs/>
    </w:rPr>
  </w:style>
  <w:style w:type="character" w:customStyle="1" w:styleId="CommentSubjectChar">
    <w:name w:val="Comment Subject Char"/>
    <w:basedOn w:val="CommentTextChar"/>
    <w:link w:val="CommentSubject"/>
    <w:uiPriority w:val="99"/>
    <w:semiHidden/>
    <w:rsid w:val="00A52AE1"/>
    <w:rPr>
      <w:b/>
      <w:bCs/>
      <w:sz w:val="20"/>
      <w:szCs w:val="20"/>
    </w:rPr>
  </w:style>
  <w:style w:type="paragraph" w:styleId="BalloonText">
    <w:name w:val="Balloon Text"/>
    <w:basedOn w:val="Normal"/>
    <w:link w:val="BalloonTextChar"/>
    <w:uiPriority w:val="99"/>
    <w:semiHidden/>
    <w:unhideWhenUsed/>
    <w:rsid w:val="00A52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E1"/>
    <w:rPr>
      <w:rFonts w:ascii="Segoe UI" w:hAnsi="Segoe UI" w:cs="Segoe UI"/>
      <w:sz w:val="18"/>
      <w:szCs w:val="18"/>
    </w:rPr>
  </w:style>
  <w:style w:type="paragraph" w:styleId="BodyText">
    <w:name w:val="Body Text"/>
    <w:basedOn w:val="Normal"/>
    <w:link w:val="BodyTextChar"/>
    <w:autoRedefine/>
    <w:semiHidden/>
    <w:unhideWhenUsed/>
    <w:qFormat/>
    <w:rsid w:val="0094643D"/>
    <w:pPr>
      <w:shd w:val="clear" w:color="auto" w:fill="FFFFFF"/>
      <w:spacing w:before="240" w:after="240" w:line="288" w:lineRule="auto"/>
    </w:pPr>
    <w:rPr>
      <w:rFonts w:ascii="Arial" w:eastAsia="Arial" w:hAnsi="Arial" w:cs="Arial"/>
      <w:sz w:val="20"/>
      <w:szCs w:val="24"/>
      <w:lang w:val="en-GB"/>
    </w:rPr>
  </w:style>
  <w:style w:type="character" w:customStyle="1" w:styleId="BodyTextChar">
    <w:name w:val="Body Text Char"/>
    <w:basedOn w:val="DefaultParagraphFont"/>
    <w:link w:val="BodyText"/>
    <w:semiHidden/>
    <w:rsid w:val="0094643D"/>
    <w:rPr>
      <w:rFonts w:ascii="Arial" w:eastAsia="Arial" w:hAnsi="Arial" w:cs="Arial"/>
      <w:sz w:val="20"/>
      <w:szCs w:val="24"/>
      <w:shd w:val="clear" w:color="auto" w:fill="FFFFFF"/>
      <w:lang w:val="en-GB"/>
    </w:rPr>
  </w:style>
  <w:style w:type="character" w:styleId="Emphasis">
    <w:name w:val="Emphasis"/>
    <w:basedOn w:val="DefaultParagraphFont"/>
    <w:uiPriority w:val="20"/>
    <w:rsid w:val="00241110"/>
    <w:rPr>
      <w:i/>
      <w:iCs/>
    </w:rPr>
  </w:style>
  <w:style w:type="character" w:styleId="UnresolvedMention">
    <w:name w:val="Unresolved Mention"/>
    <w:basedOn w:val="DefaultParagraphFont"/>
    <w:uiPriority w:val="99"/>
    <w:semiHidden/>
    <w:unhideWhenUsed/>
    <w:rsid w:val="00BC00A8"/>
    <w:rPr>
      <w:color w:val="605E5C"/>
      <w:shd w:val="clear" w:color="auto" w:fill="E1DFDD"/>
    </w:rPr>
  </w:style>
  <w:style w:type="paragraph" w:styleId="Revision">
    <w:name w:val="Revision"/>
    <w:hidden/>
    <w:uiPriority w:val="99"/>
    <w:semiHidden/>
    <w:rsid w:val="0005005A"/>
    <w:pPr>
      <w:spacing w:after="0" w:line="240" w:lineRule="auto"/>
    </w:pPr>
  </w:style>
  <w:style w:type="character" w:styleId="FollowedHyperlink">
    <w:name w:val="FollowedHyperlink"/>
    <w:basedOn w:val="DefaultParagraphFont"/>
    <w:uiPriority w:val="99"/>
    <w:semiHidden/>
    <w:unhideWhenUsed/>
    <w:rsid w:val="00DD043B"/>
    <w:rPr>
      <w:color w:val="646464" w:themeColor="followedHyperlink"/>
      <w:u w:val="single"/>
    </w:rPr>
  </w:style>
  <w:style w:type="paragraph" w:customStyle="1" w:styleId="AppendixH1">
    <w:name w:val="Appendix H1"/>
    <w:qFormat/>
    <w:rsid w:val="006E0ACE"/>
    <w:pPr>
      <w:spacing w:after="120"/>
      <w:outlineLvl w:val="0"/>
    </w:pPr>
    <w:rPr>
      <w:rFonts w:asciiTheme="majorHAnsi" w:eastAsiaTheme="majorEastAsia" w:hAnsiTheme="majorHAnsi" w:cstheme="majorBidi"/>
      <w:color w:val="410B68" w:themeColor="accent1" w:themeShade="BF"/>
      <w:sz w:val="32"/>
      <w:szCs w:val="32"/>
      <w:lang w:eastAsia="en-AU"/>
    </w:rPr>
  </w:style>
  <w:style w:type="paragraph" w:customStyle="1" w:styleId="AppendixH2">
    <w:name w:val="Appendix H2"/>
    <w:qFormat/>
    <w:rsid w:val="006E0ACE"/>
    <w:pPr>
      <w:numPr>
        <w:numId w:val="9"/>
      </w:numPr>
      <w:spacing w:before="60" w:after="60"/>
      <w:outlineLvl w:val="1"/>
    </w:pPr>
    <w:rPr>
      <w:rFonts w:asciiTheme="majorHAnsi" w:eastAsiaTheme="majorEastAsia" w:hAnsiTheme="majorHAnsi" w:cstheme="majorBidi"/>
      <w:color w:val="410B68" w:themeColor="accent1" w:themeShade="BF"/>
      <w:sz w:val="26"/>
      <w:szCs w:val="26"/>
      <w:lang w:eastAsia="en-AU"/>
    </w:rPr>
  </w:style>
  <w:style w:type="numbering" w:customStyle="1" w:styleId="NumberedList">
    <w:name w:val="NumberedList"/>
    <w:uiPriority w:val="99"/>
    <w:rsid w:val="00E204D5"/>
    <w:pPr>
      <w:numPr>
        <w:numId w:val="5"/>
      </w:numPr>
    </w:pPr>
  </w:style>
  <w:style w:type="paragraph" w:styleId="ListBullet">
    <w:name w:val="List Bullet"/>
    <w:basedOn w:val="Normal"/>
    <w:uiPriority w:val="99"/>
    <w:unhideWhenUsed/>
    <w:qFormat/>
    <w:rsid w:val="00E204D5"/>
    <w:pPr>
      <w:numPr>
        <w:numId w:val="7"/>
      </w:numPr>
      <w:ind w:left="357" w:hanging="357"/>
      <w:contextualSpacing/>
    </w:pPr>
  </w:style>
  <w:style w:type="paragraph" w:customStyle="1" w:styleId="Quotedbulletpoint">
    <w:name w:val="Quoted bullet point"/>
    <w:qFormat/>
    <w:rsid w:val="00D10E4F"/>
    <w:pPr>
      <w:numPr>
        <w:numId w:val="1"/>
      </w:numPr>
      <w:tabs>
        <w:tab w:val="left" w:pos="284"/>
      </w:tabs>
      <w:ind w:left="924" w:right="567" w:hanging="357"/>
      <w:contextualSpacing/>
    </w:pPr>
    <w:rPr>
      <w:rFonts w:cs="Arial"/>
      <w:iCs/>
      <w:szCs w:val="20"/>
    </w:rPr>
  </w:style>
  <w:style w:type="paragraph" w:customStyle="1" w:styleId="Quotedbulletpoint2">
    <w:name w:val="Quoted bullet point 2"/>
    <w:basedOn w:val="Quotedbulletpoint"/>
    <w:qFormat/>
    <w:rsid w:val="005247B5"/>
    <w:pPr>
      <w:numPr>
        <w:numId w:val="8"/>
      </w:numPr>
      <w:spacing w:after="0"/>
    </w:pPr>
    <w:rPr>
      <w:lang w:val="en-GB"/>
    </w:rPr>
  </w:style>
  <w:style w:type="table" w:styleId="ListTable3-Accent4">
    <w:name w:val="List Table 3 Accent 4"/>
    <w:basedOn w:val="TableNormal"/>
    <w:uiPriority w:val="48"/>
    <w:rsid w:val="007939AB"/>
    <w:pPr>
      <w:spacing w:after="0" w:line="240" w:lineRule="auto"/>
    </w:pPr>
    <w:tblPr>
      <w:tblStyleRowBandSize w:val="1"/>
      <w:tblStyleColBandSize w:val="1"/>
      <w:tblBorders>
        <w:top w:val="single" w:sz="4" w:space="0" w:color="9983B5" w:themeColor="accent4"/>
        <w:left w:val="single" w:sz="4" w:space="0" w:color="9983B5" w:themeColor="accent4"/>
        <w:bottom w:val="single" w:sz="4" w:space="0" w:color="9983B5" w:themeColor="accent4"/>
        <w:right w:val="single" w:sz="4" w:space="0" w:color="9983B5" w:themeColor="accent4"/>
        <w:insideH w:val="single" w:sz="4" w:space="0" w:color="9983B5" w:themeColor="accent4"/>
        <w:insideV w:val="single" w:sz="4" w:space="0" w:color="9983B5" w:themeColor="accent4"/>
      </w:tblBorders>
    </w:tblPr>
    <w:tcPr>
      <w:tcMar>
        <w:top w:w="28" w:type="dxa"/>
        <w:bottom w:w="28" w:type="dxa"/>
      </w:tcMar>
    </w:tcPr>
    <w:tblStylePr w:type="firstRow">
      <w:rPr>
        <w:b/>
        <w:bCs/>
        <w:color w:val="FFFFFF" w:themeColor="background1"/>
      </w:rPr>
      <w:tblPr/>
      <w:tcPr>
        <w:shd w:val="clear" w:color="auto" w:fill="9983B5" w:themeFill="accent4"/>
      </w:tcPr>
    </w:tblStylePr>
    <w:tblStylePr w:type="lastRow">
      <w:rPr>
        <w:b/>
        <w:bCs/>
      </w:rPr>
      <w:tblPr/>
      <w:tcPr>
        <w:tcBorders>
          <w:top w:val="double" w:sz="4" w:space="0" w:color="9983B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83B5" w:themeColor="accent4"/>
          <w:right w:val="single" w:sz="4" w:space="0" w:color="9983B5" w:themeColor="accent4"/>
        </w:tcBorders>
      </w:tcPr>
    </w:tblStylePr>
    <w:tblStylePr w:type="band1Horz">
      <w:tblPr/>
      <w:tcPr>
        <w:tcBorders>
          <w:top w:val="single" w:sz="4" w:space="0" w:color="9983B5" w:themeColor="accent4"/>
          <w:bottom w:val="single" w:sz="4" w:space="0" w:color="9983B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83B5" w:themeColor="accent4"/>
          <w:left w:val="nil"/>
        </w:tcBorders>
      </w:tcPr>
    </w:tblStylePr>
    <w:tblStylePr w:type="swCell">
      <w:tblPr/>
      <w:tcPr>
        <w:tcBorders>
          <w:top w:val="double" w:sz="4" w:space="0" w:color="9983B5" w:themeColor="accent4"/>
          <w:right w:val="nil"/>
        </w:tcBorders>
      </w:tcPr>
    </w:tblStylePr>
  </w:style>
  <w:style w:type="paragraph" w:customStyle="1" w:styleId="Appendix3">
    <w:name w:val="Appendix 3"/>
    <w:qFormat/>
    <w:rsid w:val="0073670D"/>
    <w:pPr>
      <w:numPr>
        <w:ilvl w:val="1"/>
        <w:numId w:val="9"/>
      </w:numPr>
      <w:spacing w:after="0" w:line="240" w:lineRule="auto"/>
    </w:pPr>
    <w:rPr>
      <w:rFonts w:eastAsia="Times New Roman" w:cstheme="minorHAnsi"/>
      <w:lang w:eastAsia="en-AU"/>
    </w:rPr>
  </w:style>
  <w:style w:type="numbering" w:customStyle="1" w:styleId="AppendixNum">
    <w:name w:val="AppendixNum"/>
    <w:uiPriority w:val="99"/>
    <w:rsid w:val="0073670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2886">
      <w:bodyDiv w:val="1"/>
      <w:marLeft w:val="0"/>
      <w:marRight w:val="0"/>
      <w:marTop w:val="0"/>
      <w:marBottom w:val="0"/>
      <w:divBdr>
        <w:top w:val="none" w:sz="0" w:space="0" w:color="auto"/>
        <w:left w:val="none" w:sz="0" w:space="0" w:color="auto"/>
        <w:bottom w:val="none" w:sz="0" w:space="0" w:color="auto"/>
        <w:right w:val="none" w:sz="0" w:space="0" w:color="auto"/>
      </w:divBdr>
    </w:div>
    <w:div w:id="149567861">
      <w:bodyDiv w:val="1"/>
      <w:marLeft w:val="0"/>
      <w:marRight w:val="0"/>
      <w:marTop w:val="0"/>
      <w:marBottom w:val="0"/>
      <w:divBdr>
        <w:top w:val="none" w:sz="0" w:space="0" w:color="auto"/>
        <w:left w:val="none" w:sz="0" w:space="0" w:color="auto"/>
        <w:bottom w:val="none" w:sz="0" w:space="0" w:color="auto"/>
        <w:right w:val="none" w:sz="0" w:space="0" w:color="auto"/>
      </w:divBdr>
    </w:div>
    <w:div w:id="488399334">
      <w:bodyDiv w:val="1"/>
      <w:marLeft w:val="0"/>
      <w:marRight w:val="0"/>
      <w:marTop w:val="0"/>
      <w:marBottom w:val="0"/>
      <w:divBdr>
        <w:top w:val="none" w:sz="0" w:space="0" w:color="auto"/>
        <w:left w:val="none" w:sz="0" w:space="0" w:color="auto"/>
        <w:bottom w:val="none" w:sz="0" w:space="0" w:color="auto"/>
        <w:right w:val="none" w:sz="0" w:space="0" w:color="auto"/>
      </w:divBdr>
    </w:div>
    <w:div w:id="508258467">
      <w:bodyDiv w:val="1"/>
      <w:marLeft w:val="0"/>
      <w:marRight w:val="0"/>
      <w:marTop w:val="0"/>
      <w:marBottom w:val="0"/>
      <w:divBdr>
        <w:top w:val="none" w:sz="0" w:space="0" w:color="auto"/>
        <w:left w:val="none" w:sz="0" w:space="0" w:color="auto"/>
        <w:bottom w:val="none" w:sz="0" w:space="0" w:color="auto"/>
        <w:right w:val="none" w:sz="0" w:space="0" w:color="auto"/>
      </w:divBdr>
    </w:div>
    <w:div w:id="692997799">
      <w:bodyDiv w:val="1"/>
      <w:marLeft w:val="0"/>
      <w:marRight w:val="0"/>
      <w:marTop w:val="0"/>
      <w:marBottom w:val="0"/>
      <w:divBdr>
        <w:top w:val="none" w:sz="0" w:space="0" w:color="auto"/>
        <w:left w:val="none" w:sz="0" w:space="0" w:color="auto"/>
        <w:bottom w:val="none" w:sz="0" w:space="0" w:color="auto"/>
        <w:right w:val="none" w:sz="0" w:space="0" w:color="auto"/>
      </w:divBdr>
    </w:div>
    <w:div w:id="906570116">
      <w:bodyDiv w:val="1"/>
      <w:marLeft w:val="0"/>
      <w:marRight w:val="0"/>
      <w:marTop w:val="0"/>
      <w:marBottom w:val="0"/>
      <w:divBdr>
        <w:top w:val="none" w:sz="0" w:space="0" w:color="auto"/>
        <w:left w:val="none" w:sz="0" w:space="0" w:color="auto"/>
        <w:bottom w:val="none" w:sz="0" w:space="0" w:color="auto"/>
        <w:right w:val="none" w:sz="0" w:space="0" w:color="auto"/>
      </w:divBdr>
    </w:div>
    <w:div w:id="1068264997">
      <w:bodyDiv w:val="1"/>
      <w:marLeft w:val="0"/>
      <w:marRight w:val="0"/>
      <w:marTop w:val="0"/>
      <w:marBottom w:val="0"/>
      <w:divBdr>
        <w:top w:val="none" w:sz="0" w:space="0" w:color="auto"/>
        <w:left w:val="none" w:sz="0" w:space="0" w:color="auto"/>
        <w:bottom w:val="none" w:sz="0" w:space="0" w:color="auto"/>
        <w:right w:val="none" w:sz="0" w:space="0" w:color="auto"/>
      </w:divBdr>
    </w:div>
    <w:div w:id="1207336103">
      <w:bodyDiv w:val="1"/>
      <w:marLeft w:val="0"/>
      <w:marRight w:val="0"/>
      <w:marTop w:val="0"/>
      <w:marBottom w:val="0"/>
      <w:divBdr>
        <w:top w:val="none" w:sz="0" w:space="0" w:color="auto"/>
        <w:left w:val="none" w:sz="0" w:space="0" w:color="auto"/>
        <w:bottom w:val="none" w:sz="0" w:space="0" w:color="auto"/>
        <w:right w:val="none" w:sz="0" w:space="0" w:color="auto"/>
      </w:divBdr>
    </w:div>
    <w:div w:id="1217622299">
      <w:bodyDiv w:val="1"/>
      <w:marLeft w:val="0"/>
      <w:marRight w:val="0"/>
      <w:marTop w:val="0"/>
      <w:marBottom w:val="0"/>
      <w:divBdr>
        <w:top w:val="none" w:sz="0" w:space="0" w:color="auto"/>
        <w:left w:val="none" w:sz="0" w:space="0" w:color="auto"/>
        <w:bottom w:val="none" w:sz="0" w:space="0" w:color="auto"/>
        <w:right w:val="none" w:sz="0" w:space="0" w:color="auto"/>
      </w:divBdr>
    </w:div>
    <w:div w:id="1938752153">
      <w:bodyDiv w:val="1"/>
      <w:marLeft w:val="0"/>
      <w:marRight w:val="0"/>
      <w:marTop w:val="0"/>
      <w:marBottom w:val="0"/>
      <w:divBdr>
        <w:top w:val="none" w:sz="0" w:space="0" w:color="auto"/>
        <w:left w:val="none" w:sz="0" w:space="0" w:color="auto"/>
        <w:bottom w:val="none" w:sz="0" w:space="0" w:color="auto"/>
        <w:right w:val="none" w:sz="0" w:space="0" w:color="auto"/>
      </w:divBdr>
    </w:div>
    <w:div w:id="2005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sa.wa.edu.au" TargetMode="External"/><Relationship Id="rId18" Type="http://schemas.openxmlformats.org/officeDocument/2006/relationships/hyperlink" Target="http://www.scsa.wa.edu.a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info@scsa.wa.edu.au" TargetMode="Externa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hyperlink" Target="mailto:info@scsa.wa.edu.au" TargetMode="External"/><Relationship Id="rId25" Type="http://schemas.openxmlformats.org/officeDocument/2006/relationships/hyperlink" Target="mailto:ablewa@scsa.wa.edu.a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k10outline.scsa.wa.edu.au/home/resources/ablew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wa.gov.au/government/document-collections/digital-services-policy-framework"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facebook.com/scsaw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nfo@scsa.wa.edu.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nfo@scsa.wa.edu.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yllabusPurplesBC">
      <a:dk1>
        <a:sysClr val="windowText" lastClr="000000"/>
      </a:dk1>
      <a:lt1>
        <a:sysClr val="window" lastClr="FFFFFF"/>
      </a:lt1>
      <a:dk2>
        <a:srgbClr val="514F59"/>
      </a:dk2>
      <a:lt2>
        <a:srgbClr val="9688BE"/>
      </a:lt2>
      <a:accent1>
        <a:srgbClr val="580F8B"/>
      </a:accent1>
      <a:accent2>
        <a:srgbClr val="514F59"/>
      </a:accent2>
      <a:accent3>
        <a:srgbClr val="5C815C"/>
      </a:accent3>
      <a:accent4>
        <a:srgbClr val="9983B5"/>
      </a:accent4>
      <a:accent5>
        <a:srgbClr val="C4BFD9"/>
      </a:accent5>
      <a:accent6>
        <a:srgbClr val="E1DDEF"/>
      </a:accent6>
      <a:hlink>
        <a:srgbClr val="580F8B"/>
      </a:hlink>
      <a:folHlink>
        <a:srgbClr val="6464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Struik</dc:creator>
  <cp:keywords/>
  <dc:description/>
  <cp:lastModifiedBy>Jenna Khor</cp:lastModifiedBy>
  <cp:revision>8</cp:revision>
  <dcterms:created xsi:type="dcterms:W3CDTF">2023-03-30T01:38:00Z</dcterms:created>
  <dcterms:modified xsi:type="dcterms:W3CDTF">2023-06-30T01:04:00Z</dcterms:modified>
</cp:coreProperties>
</file>